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D2C9" w14:textId="6E5E124B" w:rsidR="003C6BE0" w:rsidRPr="003C6BE0" w:rsidRDefault="003C6BE0" w:rsidP="003C6BE0">
      <w:pPr>
        <w:pStyle w:val="Titolo1"/>
        <w:shd w:val="clear" w:color="auto" w:fill="FFFFFF"/>
        <w:spacing w:before="161" w:after="161" w:line="360" w:lineRule="atLeast"/>
        <w:rPr>
          <w:rFonts w:ascii="Verdana" w:hAnsi="Verdana"/>
          <w:color w:val="282828"/>
          <w:sz w:val="36"/>
          <w:szCs w:val="36"/>
        </w:rPr>
      </w:pPr>
      <w:r>
        <w:rPr>
          <w:rFonts w:ascii="Verdana" w:hAnsi="Verdana"/>
          <w:b/>
          <w:bCs/>
          <w:color w:val="282828"/>
          <w:sz w:val="36"/>
          <w:szCs w:val="36"/>
        </w:rPr>
        <w:t>POLITICA ECONOMICA E FINANZIARIA</w:t>
      </w:r>
    </w:p>
    <w:p w14:paraId="11438504" w14:textId="77777777" w:rsidR="00147DA1" w:rsidRDefault="00147DA1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4FEDCD90" w14:textId="29F0ADAD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Obiettivi</w:t>
      </w:r>
    </w:p>
    <w:p w14:paraId="70F3EA5F" w14:textId="195E654F" w:rsidR="003C6BE0" w:rsidRPr="003C6BE0" w:rsidRDefault="003C6BE0" w:rsidP="00147D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Il corso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mira ad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illustrare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ai suoi studenti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funzionamento dell’economia di un Paese nel suo complesso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 In particolare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si approfondirà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l’analisi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el caso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un’economia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aperta agli scambi internazionali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che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oper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a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in un regime di cambi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(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flessibili o fissi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)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.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Inoltre, si approfondirà sia la prospettiva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breve, che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medio e lungo periodo,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concentrandosi in particolare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sulle caratteristiche de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mercat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 sia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dei beni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che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finanziari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. Particolare attenzione verrà prestata agli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effetti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le conseguenze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prodott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dall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politic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he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fiscal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monetari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messe in atto dai governi e le banche centrali. </w:t>
      </w:r>
      <w:proofErr w:type="gramStart"/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Inoltre</w:t>
      </w:r>
      <w:proofErr w:type="gramEnd"/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nel corso si descriverà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ruolo svolto dalle aspettative degli agenti economici nella determinazione delle loro decisioni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si sofferm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erà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su temi di particolare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attualità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quali la crisi economica e finanziaria mondiale e le sue ricadute sulla realtà europea e le scelte di politica monetaria e fiscale.</w:t>
      </w:r>
    </w:p>
    <w:p w14:paraId="58732F47" w14:textId="77777777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Prerequisiti</w:t>
      </w:r>
    </w:p>
    <w:p w14:paraId="34F97963" w14:textId="61B28E66" w:rsidR="00A70F73" w:rsidRP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Conoscenz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di base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Macroeconomia 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Politica economica.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C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onoscenz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elementari di algebra lineare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capacità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leggere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grafici, nozioni elementare di analisi matematica (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in particolare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derivate)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</w:t>
      </w:r>
    </w:p>
    <w:p w14:paraId="7E808FF3" w14:textId="1A1BBB9F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Contenuti</w:t>
      </w:r>
    </w:p>
    <w:p w14:paraId="1E385B4F" w14:textId="77777777" w:rsidR="00A70F73" w:rsidRDefault="00A70F73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</w:p>
    <w:p w14:paraId="5660318C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proofErr w:type="gram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 blocco</w:t>
      </w:r>
      <w:proofErr w:type="gram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di lezioni (24 ore) TASSI DI CAMBIO E MACROECONOMIA IN ECONOMIA APERTA</w:t>
      </w:r>
    </w:p>
    <w:p w14:paraId="38244C4C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  <w:t>Contabilità nazionale e bilancia dei pagamenti; Tassi di cambio e mercati valutari: un approccio di portafoglio; Moneta, tassi di interesse e tassi di cambio; Livello dei prezzi e tasso di cambio nel lungo periodo; Produzione e tasso di cambio nel breve periodo; Tassi di cambio fissi e interventi sul mercato dei cambi</w:t>
      </w:r>
    </w:p>
    <w:p w14:paraId="1FD54B1E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</w:r>
      <w:proofErr w:type="gram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II</w:t>
      </w:r>
      <w:proofErr w:type="gram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blocco di lezioni (24 ore) ISTITUZIONI E MERCATI FINANZIARI</w:t>
      </w:r>
    </w:p>
    <w:p w14:paraId="251F4D4C" w14:textId="638FD46D" w:rsidR="003C6BE0" w:rsidRPr="003C6BE0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  <w:t>Istituzioni Finanziarie; Banche e fondamenti dell’attività di gestione; I tassi di interesse e il loro ruolo nella valutazione; Le Banche Centrali; Mercati finanziari e tassi di interesse, Rischio e tassi di interesse; Mercati monetari, obbligazionari, azionari e mercato dei cambi</w:t>
      </w:r>
    </w:p>
    <w:p w14:paraId="6AAE5542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3CE5255E" w14:textId="54AF787E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Metodi Didattici</w:t>
      </w:r>
    </w:p>
    <w:p w14:paraId="3DD748F0" w14:textId="399F35BD" w:rsidR="003C6BE0" w:rsidRPr="003C6BE0" w:rsidRDefault="003C6BE0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corso prevede lezioni frontali durante le quali verranno discussi i temi del programma ed esercitazioni nel corso delle quali si applicheranno, a casi concreti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le nozioni apprese.</w:t>
      </w:r>
    </w:p>
    <w:p w14:paraId="0715E519" w14:textId="77777777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Verifica dell'apprendimento</w:t>
      </w:r>
    </w:p>
    <w:p w14:paraId="77A29E87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La verifica si basa su una prova scritta strutturata al fine di valutare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l’adeguato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conseguimento da parte dello studente degli obiettivi formativi. Per valutare l’acquisizione e la profondità di apprendimento delle conoscenze teoriche generali, sono contemplate nel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lastRenderedPageBreak/>
        <w:t xml:space="preserve">compito scritto delle domande aperte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chiuse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sugli argomenti del programma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 N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el rispondere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gli studenti dovranno dar prova di saper esporre i concetti fondamentali appresi durante il loro studio.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Al fine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valutare la capacità degli studenti di applicare i modelli economici trattati a lezione e nei testi suggeriti per la preparazione,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potranno anche essere incluse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domande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carattere analitico. </w:t>
      </w:r>
    </w:p>
    <w:p w14:paraId="23FFDB2C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La prova scritta si compone comunque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dieci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domande; ad ogni domanda sono allocati un massimo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3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punti-voto, per un totale complessivo di 3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0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.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Eventuale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lode può essere assegnata se lo studente mostra di essere in grado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approfondire le tematiche trattate anche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oltre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quanto esposto nei testi di riferimento e nei materiali presentati a lezione. Il tempo assegnato per il completamento della prova è di 1 ora e 30 minuti. Non è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permesso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durante la prova l’uso di appunti o testi pertinenti alla preparazione, né di supporti informatici (quali ad esempio smartphone, tablet, pc, ecc.).</w:t>
      </w:r>
    </w:p>
    <w:p w14:paraId="27143D20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Se il docente lo ritiene opportuno, per valutare meglio la preparazione, può anche essere svolto un colloquio orale. La votazione assegnata al colloquio orale viene espressa in trentesimi e fa media con quella della prova scritta (con eguale ponderazione) ai fini della votazione finale.</w:t>
      </w:r>
    </w:p>
    <w:p w14:paraId="6E02B59D" w14:textId="7DEADFA5" w:rsidR="003C6BE0" w:rsidRPr="003C6BE0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Il docente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potrà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proporre agli studenti una prova intercorso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facoltativa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da svolgersi orientativamente a meta del semestre di lezione, in cui vengono somministrate domande sul programma svolto sino a quel punto.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Gli studenti potranno quindi completare l’esame con una prova orale sul resto del programma.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voto finale sarà determinato come media tra il voto della prova intercorso e quella finale.</w:t>
      </w:r>
    </w:p>
    <w:p w14:paraId="3771BA8D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78FE3773" w14:textId="3692C3E3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Testi</w:t>
      </w:r>
    </w:p>
    <w:p w14:paraId="39DAB7F6" w14:textId="77777777" w:rsidR="00A70F73" w:rsidRDefault="003C6BE0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Krugman P.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proofErr w:type="spell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Obstfeld</w:t>
      </w:r>
      <w:proofErr w:type="spell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</w:t>
      </w:r>
      <w:proofErr w:type="spell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Melitz</w:t>
      </w:r>
      <w:proofErr w:type="spell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M.J., Economia internazionale 2 – 11a ed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Pearson</w:t>
      </w:r>
    </w:p>
    <w:p w14:paraId="4BA23AE0" w14:textId="14C738CC" w:rsidR="003C6BE0" w:rsidRPr="003C6BE0" w:rsidRDefault="00A70F73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proofErr w:type="spell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Mishkin</w:t>
      </w:r>
      <w:proofErr w:type="spell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F. S.,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Eakins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S.G.,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Beccalli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E.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- </w:t>
      </w:r>
      <w:r w:rsidR="003C6BE0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Istituzioni e mercati finanziari 9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° e</w:t>
      </w:r>
      <w:r w:rsidR="003C6BE0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d.</w:t>
      </w:r>
      <w:r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="003C6BE0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Pearson</w:t>
      </w:r>
    </w:p>
    <w:p w14:paraId="4A8D9F29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29B98635" w14:textId="16D027A5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Altre Informazioni</w:t>
      </w:r>
    </w:p>
    <w:p w14:paraId="123ACEFA" w14:textId="57E99DE1" w:rsidR="003C6BE0" w:rsidRPr="003C6BE0" w:rsidRDefault="003C6BE0" w:rsidP="003C6BE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Propedeuticità: Istituzioni di Economia</w:t>
      </w:r>
    </w:p>
    <w:sectPr w:rsidR="003C6BE0" w:rsidRPr="003C6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sTQzNrM0NTAytTRV0lEKTi0uzszPAykwqgUAfqo2SCwAAAA="/>
  </w:docVars>
  <w:rsids>
    <w:rsidRoot w:val="003C6BE0"/>
    <w:rsid w:val="00147DA1"/>
    <w:rsid w:val="003C6BE0"/>
    <w:rsid w:val="0065537B"/>
    <w:rsid w:val="00A70F73"/>
    <w:rsid w:val="00E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0DB"/>
  <w15:chartTrackingRefBased/>
  <w15:docId w15:val="{28B27E9A-5657-4E95-89A1-7A3E6E4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C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C6BE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6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ALFANO</dc:creator>
  <cp:keywords/>
  <dc:description/>
  <cp:lastModifiedBy>VINCENZO ALFANO</cp:lastModifiedBy>
  <cp:revision>3</cp:revision>
  <dcterms:created xsi:type="dcterms:W3CDTF">2023-02-17T09:17:00Z</dcterms:created>
  <dcterms:modified xsi:type="dcterms:W3CDTF">2023-02-17T09:35:00Z</dcterms:modified>
</cp:coreProperties>
</file>