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6167" w14:textId="77777777" w:rsidR="004033B8" w:rsidRPr="004033B8" w:rsidRDefault="004033B8" w:rsidP="004033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Docenti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10B38C8E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Segoe U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studio, convegni nazionali e internazionali organizzati in Ateneo</w:t>
      </w:r>
    </w:p>
    <w:p w14:paraId="5323D8C9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studio, convegni nazionali e internazionali organizzati in Ateneo di natura divulgativa e aperti alla comunità non scientifica/accademica</w:t>
      </w:r>
    </w:p>
    <w:p w14:paraId="21406F83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Pubblicazioni divulgative di livello nazionale o internazionale;</w:t>
      </w:r>
    </w:p>
    <w:p w14:paraId="4002BBEC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Partecipazioni dei docenti/ricercatori a trasmissioni radiotelevisive (e web) a livello locale, nazionale o internazionale;</w:t>
      </w:r>
    </w:p>
    <w:p w14:paraId="43F02394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Partecipazioni attive ad incontri pubblici organizzati da altri soggetti (ad es. manifestazione a Piazza del Plebiscito, caffè scientifici, festival, fiere scientifiche);</w:t>
      </w:r>
    </w:p>
    <w:p w14:paraId="6E91AC3F" w14:textId="77777777" w:rsidR="004033B8" w:rsidRPr="004033B8" w:rsidRDefault="004033B8" w:rsidP="004033B8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Eventi pubblici (ad es. Notte dei Ricercatori, open day, ecc.) organizzati in autonomia o in collaborazione con altri soggetti esterni</w:t>
      </w:r>
    </w:p>
    <w:p w14:paraId="6589D1AA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 </w:t>
      </w: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Comunicazione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733D4C6F" w14:textId="77777777" w:rsidR="004033B8" w:rsidRPr="004033B8" w:rsidRDefault="004033B8" w:rsidP="004033B8">
      <w:pPr>
        <w:numPr>
          <w:ilvl w:val="0"/>
          <w:numId w:val="2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studio, convegni nazionali e internazionali organizzati in Ateneo</w:t>
      </w:r>
    </w:p>
    <w:p w14:paraId="11AA2AD3" w14:textId="77777777" w:rsidR="004033B8" w:rsidRPr="004033B8" w:rsidRDefault="004033B8" w:rsidP="004033B8">
      <w:pPr>
        <w:numPr>
          <w:ilvl w:val="0"/>
          <w:numId w:val="2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studio, convegni nazionali e internazionali organizzati in Ateneo di natura divulgativa e aperti alla comunità non scientifica/accademica</w:t>
      </w:r>
    </w:p>
    <w:p w14:paraId="483994BA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 Terza Missione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640B86A0" w14:textId="77777777" w:rsidR="004033B8" w:rsidRPr="004033B8" w:rsidRDefault="004033B8" w:rsidP="004033B8">
      <w:pPr>
        <w:numPr>
          <w:ilvl w:val="0"/>
          <w:numId w:val="3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Brevetti</w:t>
      </w:r>
    </w:p>
    <w:p w14:paraId="293886E9" w14:textId="77777777" w:rsidR="004033B8" w:rsidRPr="004033B8" w:rsidRDefault="004033B8" w:rsidP="004033B8">
      <w:pPr>
        <w:numPr>
          <w:ilvl w:val="0"/>
          <w:numId w:val="3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Partecipazioni attive ad incontri pubblici organizzati da altri soggetti (ad es. manifestazione a Piazza del Plebiscito, caffè scientifici, festival, fiere scientifiche);</w:t>
      </w:r>
    </w:p>
    <w:p w14:paraId="789C69DD" w14:textId="77777777" w:rsidR="004033B8" w:rsidRPr="004033B8" w:rsidRDefault="004033B8" w:rsidP="004033B8">
      <w:pPr>
        <w:numPr>
          <w:ilvl w:val="0"/>
          <w:numId w:val="3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Eventi pubblici (ad es. Notte dei Ricercatori, open day, ecc.) organizzati in autonomia o in collaborazione con altri soggetti esterni</w:t>
      </w:r>
    </w:p>
    <w:p w14:paraId="23963F98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 Orientamento e Placement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56126AE1" w14:textId="77777777" w:rsidR="004033B8" w:rsidRPr="004033B8" w:rsidRDefault="004033B8" w:rsidP="004033B8">
      <w:pPr>
        <w:numPr>
          <w:ilvl w:val="0"/>
          <w:numId w:val="4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Giornate/iniziative di orientamento con le scuole superiori</w:t>
      </w:r>
    </w:p>
    <w:p w14:paraId="1B9B3094" w14:textId="77777777" w:rsidR="004033B8" w:rsidRPr="004033B8" w:rsidRDefault="004033B8" w:rsidP="004033B8">
      <w:pPr>
        <w:numPr>
          <w:ilvl w:val="0"/>
          <w:numId w:val="4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Tirocini in ambito aziendale o in studi professionali</w:t>
      </w:r>
    </w:p>
    <w:p w14:paraId="2BA35464" w14:textId="77777777" w:rsidR="004033B8" w:rsidRPr="004033B8" w:rsidRDefault="004033B8" w:rsidP="004033B8">
      <w:pPr>
        <w:numPr>
          <w:ilvl w:val="0"/>
          <w:numId w:val="4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stipulate con aziende ed enti pubblici o privati</w:t>
      </w:r>
    </w:p>
    <w:p w14:paraId="33E943C4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Dipartimenti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16D97BF7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Giornate/iniziative di orientamento con le scuole superiori</w:t>
      </w:r>
    </w:p>
    <w:p w14:paraId="30756A54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con le associazioni di categoria e ordini professionali finalizzati a stage e tirocini</w:t>
      </w:r>
    </w:p>
    <w:p w14:paraId="237CE9D1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Tirocini in ambito aziendale o in studi professionali</w:t>
      </w:r>
    </w:p>
    <w:p w14:paraId="0A22AD7A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Accordi e convenzioni con i grandi players economici e industriali</w:t>
      </w:r>
    </w:p>
    <w:p w14:paraId="6F65DDC9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stipulate con aziende ed enti pubblici o privati</w:t>
      </w:r>
    </w:p>
    <w:p w14:paraId="31FA5843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Entrate per attività di contro terzi</w:t>
      </w:r>
    </w:p>
    <w:p w14:paraId="6C18E013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di ricerca con soggetti pubblici e privati</w:t>
      </w:r>
    </w:p>
    <w:p w14:paraId="11591BA9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Accordi quadro e convenzioni di ricerca stipulati con attori istituzionali (Regione, Comune, ecc.)</w:t>
      </w:r>
    </w:p>
    <w:p w14:paraId="2286E575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</w:t>
      </w:r>
    </w:p>
    <w:p w14:paraId="2C1D82C9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 su fondi esterni</w:t>
      </w:r>
    </w:p>
    <w:p w14:paraId="032F253A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per iniziative di formazione continua</w:t>
      </w:r>
    </w:p>
    <w:p w14:paraId="42B3CB22" w14:textId="77777777" w:rsidR="004033B8" w:rsidRPr="004033B8" w:rsidRDefault="004033B8" w:rsidP="004033B8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Studenti coinvolti in iniziative di formazione continua (o altri corsi che non rilasciano titoli universitari) e numero ore erogate</w:t>
      </w:r>
    </w:p>
    <w:p w14:paraId="06849F84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Affari Generali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28E82C00" w14:textId="77777777" w:rsidR="004033B8" w:rsidRPr="004033B8" w:rsidRDefault="004033B8" w:rsidP="004033B8">
      <w:pPr>
        <w:numPr>
          <w:ilvl w:val="0"/>
          <w:numId w:val="6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con le associazioni di categoria e ordini professionali finalizzati a stage e tirocini.</w:t>
      </w:r>
    </w:p>
    <w:p w14:paraId="6DECB372" w14:textId="77777777" w:rsidR="004033B8" w:rsidRPr="004033B8" w:rsidRDefault="004033B8" w:rsidP="004033B8">
      <w:pPr>
        <w:numPr>
          <w:ilvl w:val="0"/>
          <w:numId w:val="6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Accordi e convenzioni con i grandi players economici e industriali</w:t>
      </w:r>
    </w:p>
    <w:p w14:paraId="2CAD0624" w14:textId="77777777" w:rsidR="004033B8" w:rsidRPr="004033B8" w:rsidRDefault="004033B8" w:rsidP="004033B8">
      <w:pPr>
        <w:numPr>
          <w:ilvl w:val="0"/>
          <w:numId w:val="6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stipulate con aziende ed enti pubblici o privati</w:t>
      </w:r>
    </w:p>
    <w:p w14:paraId="04D151F2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 Dottorati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6D417399" w14:textId="77777777" w:rsidR="004033B8" w:rsidRPr="004033B8" w:rsidRDefault="004033B8" w:rsidP="004033B8">
      <w:pPr>
        <w:numPr>
          <w:ilvl w:val="0"/>
          <w:numId w:val="7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</w:t>
      </w:r>
    </w:p>
    <w:p w14:paraId="02FCA7C0" w14:textId="77777777" w:rsidR="004033B8" w:rsidRPr="004033B8" w:rsidRDefault="004033B8" w:rsidP="004033B8">
      <w:pPr>
        <w:numPr>
          <w:ilvl w:val="0"/>
          <w:numId w:val="7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 su fondi esterni (BIS)</w:t>
      </w:r>
    </w:p>
    <w:p w14:paraId="31BC2B45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 Ragioneria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1AD4CA97" w14:textId="77777777" w:rsidR="004033B8" w:rsidRPr="004033B8" w:rsidRDefault="004033B8" w:rsidP="004033B8">
      <w:pPr>
        <w:numPr>
          <w:ilvl w:val="0"/>
          <w:numId w:val="8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Entrate per attività di contro terzi</w:t>
      </w:r>
    </w:p>
    <w:p w14:paraId="706CC923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Ufficio Progetti di Ricerca Nazionale e di Ateneo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186D2C18" w14:textId="77777777" w:rsidR="004033B8" w:rsidRPr="004033B8" w:rsidRDefault="004033B8" w:rsidP="004033B8">
      <w:pPr>
        <w:numPr>
          <w:ilvl w:val="0"/>
          <w:numId w:val="9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Entrate per attività di contro terzi</w:t>
      </w:r>
    </w:p>
    <w:p w14:paraId="2F41493F" w14:textId="77777777" w:rsidR="004033B8" w:rsidRPr="004033B8" w:rsidRDefault="004033B8" w:rsidP="004033B8">
      <w:pPr>
        <w:numPr>
          <w:ilvl w:val="0"/>
          <w:numId w:val="9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lastRenderedPageBreak/>
        <w:t>Convenzioni di ricerca con soggetti pubblici e privati</w:t>
      </w:r>
    </w:p>
    <w:p w14:paraId="76A3B606" w14:textId="77777777" w:rsidR="004033B8" w:rsidRPr="004033B8" w:rsidRDefault="004033B8" w:rsidP="004033B8">
      <w:pPr>
        <w:numPr>
          <w:ilvl w:val="0"/>
          <w:numId w:val="9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Brevetti</w:t>
      </w:r>
    </w:p>
    <w:p w14:paraId="018AF09B" w14:textId="77777777" w:rsidR="004033B8" w:rsidRPr="004033B8" w:rsidRDefault="004033B8" w:rsidP="004033B8">
      <w:pPr>
        <w:numPr>
          <w:ilvl w:val="0"/>
          <w:numId w:val="9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Accordi quadro e convenzioni di ricerca stipulati con attori istituzionali (Regione, Comune, ecc.)</w:t>
      </w:r>
    </w:p>
    <w:p w14:paraId="4A3D177D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Prorettore Ricerca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24BB048F" w14:textId="77777777" w:rsidR="004033B8" w:rsidRPr="004033B8" w:rsidRDefault="004033B8" w:rsidP="004033B8">
      <w:pPr>
        <w:numPr>
          <w:ilvl w:val="0"/>
          <w:numId w:val="10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di ricerca con soggetti pubblici e privati</w:t>
      </w:r>
    </w:p>
    <w:p w14:paraId="35AAA157" w14:textId="77777777" w:rsidR="004033B8" w:rsidRPr="004033B8" w:rsidRDefault="004033B8" w:rsidP="004033B8">
      <w:pPr>
        <w:numPr>
          <w:ilvl w:val="0"/>
          <w:numId w:val="10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Accordi quadro e convenzioni di ricerca stipulati con attori istituzionali (Regione, Comune, ecc.)</w:t>
      </w:r>
    </w:p>
    <w:p w14:paraId="6DFC53B4" w14:textId="77777777" w:rsidR="004033B8" w:rsidRPr="004033B8" w:rsidRDefault="004033B8" w:rsidP="004033B8">
      <w:pPr>
        <w:numPr>
          <w:ilvl w:val="0"/>
          <w:numId w:val="10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</w:t>
      </w:r>
    </w:p>
    <w:p w14:paraId="04241D13" w14:textId="77777777" w:rsidR="004033B8" w:rsidRPr="004033B8" w:rsidRDefault="004033B8" w:rsidP="004033B8">
      <w:pPr>
        <w:numPr>
          <w:ilvl w:val="0"/>
          <w:numId w:val="10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Borse di dottorato e/o assegni su fondi esterni (BIS)</w:t>
      </w:r>
    </w:p>
    <w:p w14:paraId="787C1EF7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Villa Doria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4CBCEB5B" w14:textId="77777777" w:rsidR="004033B8" w:rsidRPr="004033B8" w:rsidRDefault="004033B8" w:rsidP="004033B8">
      <w:pPr>
        <w:numPr>
          <w:ilvl w:val="0"/>
          <w:numId w:val="1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Visitatori Museo Navale</w:t>
      </w:r>
    </w:p>
    <w:p w14:paraId="069DE531" w14:textId="77777777" w:rsidR="004033B8" w:rsidRPr="004033B8" w:rsidRDefault="004033B8" w:rsidP="004033B8">
      <w:pPr>
        <w:numPr>
          <w:ilvl w:val="0"/>
          <w:numId w:val="1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apertura Museo Navale</w:t>
      </w:r>
    </w:p>
    <w:p w14:paraId="726E4830" w14:textId="77777777" w:rsidR="004033B8" w:rsidRPr="004033B8" w:rsidRDefault="004033B8" w:rsidP="004033B8">
      <w:pPr>
        <w:numPr>
          <w:ilvl w:val="0"/>
          <w:numId w:val="1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Visitatori Villa Doria</w:t>
      </w:r>
    </w:p>
    <w:p w14:paraId="0BD44CE8" w14:textId="77777777" w:rsidR="004033B8" w:rsidRPr="004033B8" w:rsidRDefault="004033B8" w:rsidP="004033B8">
      <w:pPr>
        <w:numPr>
          <w:ilvl w:val="0"/>
          <w:numId w:val="1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apertura al pubblico di Villa Doria</w:t>
      </w:r>
    </w:p>
    <w:p w14:paraId="6A97104F" w14:textId="77777777" w:rsidR="004033B8" w:rsidRPr="004033B8" w:rsidRDefault="004033B8" w:rsidP="004033B8">
      <w:pPr>
        <w:numPr>
          <w:ilvl w:val="0"/>
          <w:numId w:val="11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Giornate di utilizzo del complesso di Villa Doria d’Angri per iniziative interne/esterne scientifiche (convegni, manifestazioni, ecc.)</w:t>
      </w:r>
    </w:p>
    <w:p w14:paraId="40599119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Prorettore Didattica</w:t>
      </w: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:</w:t>
      </w:r>
    </w:p>
    <w:p w14:paraId="47204339" w14:textId="77777777" w:rsidR="004033B8" w:rsidRPr="004033B8" w:rsidRDefault="004033B8" w:rsidP="004033B8">
      <w:pPr>
        <w:numPr>
          <w:ilvl w:val="0"/>
          <w:numId w:val="12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Convenzioni per iniziative di formazione continua</w:t>
      </w:r>
    </w:p>
    <w:p w14:paraId="3BBFC510" w14:textId="77777777" w:rsidR="004033B8" w:rsidRPr="004033B8" w:rsidRDefault="004033B8" w:rsidP="004033B8">
      <w:pPr>
        <w:numPr>
          <w:ilvl w:val="0"/>
          <w:numId w:val="12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Studenti coinvolti in iniziative di formazione continua (o altri corsi che non rilasciano titoli universitari) e numero ore erogate</w:t>
      </w:r>
    </w:p>
    <w:p w14:paraId="46F7CB1B" w14:textId="77777777" w:rsidR="004033B8" w:rsidRPr="004033B8" w:rsidRDefault="004033B8" w:rsidP="004033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4033B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it-IT"/>
          <w14:ligatures w14:val="none"/>
        </w:rPr>
        <w:t>Ci sono poi una serie di segnalazioni che vengono rilevate in automatico dall’applicativo attraverso l’analisi delle Delibere degli Organi Collegiali e l’acquisizione di dati da altri applicativi come Placement, Ricerca, IRIS, Sistemi CINECA.</w:t>
      </w:r>
    </w:p>
    <w:p w14:paraId="4D4F542D" w14:textId="77777777" w:rsidR="004C49F8" w:rsidRDefault="004C49F8"/>
    <w:sectPr w:rsidR="004C4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D3CF6"/>
    <w:multiLevelType w:val="multilevel"/>
    <w:tmpl w:val="B07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17F89"/>
    <w:multiLevelType w:val="multilevel"/>
    <w:tmpl w:val="F40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3195E"/>
    <w:multiLevelType w:val="multilevel"/>
    <w:tmpl w:val="A330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26598"/>
    <w:multiLevelType w:val="multilevel"/>
    <w:tmpl w:val="88D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A36EF9"/>
    <w:multiLevelType w:val="multilevel"/>
    <w:tmpl w:val="3B8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7E4571"/>
    <w:multiLevelType w:val="multilevel"/>
    <w:tmpl w:val="9EF6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C1C18"/>
    <w:multiLevelType w:val="multilevel"/>
    <w:tmpl w:val="0F6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211D29"/>
    <w:multiLevelType w:val="multilevel"/>
    <w:tmpl w:val="C84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5334AD"/>
    <w:multiLevelType w:val="multilevel"/>
    <w:tmpl w:val="FBA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A03884"/>
    <w:multiLevelType w:val="multilevel"/>
    <w:tmpl w:val="CC7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774664"/>
    <w:multiLevelType w:val="multilevel"/>
    <w:tmpl w:val="55E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906378"/>
    <w:multiLevelType w:val="multilevel"/>
    <w:tmpl w:val="9E6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436557">
    <w:abstractNumId w:val="5"/>
  </w:num>
  <w:num w:numId="2" w16cid:durableId="641469309">
    <w:abstractNumId w:val="1"/>
  </w:num>
  <w:num w:numId="3" w16cid:durableId="721293774">
    <w:abstractNumId w:val="11"/>
  </w:num>
  <w:num w:numId="4" w16cid:durableId="1325277888">
    <w:abstractNumId w:val="3"/>
  </w:num>
  <w:num w:numId="5" w16cid:durableId="16464557">
    <w:abstractNumId w:val="9"/>
  </w:num>
  <w:num w:numId="6" w16cid:durableId="494994689">
    <w:abstractNumId w:val="7"/>
  </w:num>
  <w:num w:numId="7" w16cid:durableId="1624387481">
    <w:abstractNumId w:val="8"/>
  </w:num>
  <w:num w:numId="8" w16cid:durableId="1036807438">
    <w:abstractNumId w:val="6"/>
  </w:num>
  <w:num w:numId="9" w16cid:durableId="1980188910">
    <w:abstractNumId w:val="0"/>
  </w:num>
  <w:num w:numId="10" w16cid:durableId="1029136718">
    <w:abstractNumId w:val="2"/>
  </w:num>
  <w:num w:numId="11" w16cid:durableId="2121411052">
    <w:abstractNumId w:val="4"/>
  </w:num>
  <w:num w:numId="12" w16cid:durableId="1760520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B8"/>
    <w:rsid w:val="004033B8"/>
    <w:rsid w:val="004C49F8"/>
    <w:rsid w:val="007158F5"/>
    <w:rsid w:val="007C6D4F"/>
    <w:rsid w:val="00E34C36"/>
    <w:rsid w:val="00E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A917"/>
  <w15:chartTrackingRefBased/>
  <w15:docId w15:val="{F19BBDAF-606B-42D8-8894-DF0BD8C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33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33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33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33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33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33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33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33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3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3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33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33B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33B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33B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33B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33B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33B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33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3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33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3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33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33B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033B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33B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33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33B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33B8"/>
    <w:rPr>
      <w:b/>
      <w:bCs/>
      <w:smallCaps/>
      <w:color w:val="0F4761" w:themeColor="accent1" w:themeShade="BF"/>
      <w:spacing w:val="5"/>
    </w:rPr>
  </w:style>
  <w:style w:type="paragraph" w:customStyle="1" w:styleId="xelementtoproof">
    <w:name w:val="x_elementtoproof"/>
    <w:basedOn w:val="Normale"/>
    <w:rsid w:val="0040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0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Sgaglione</dc:creator>
  <cp:keywords/>
  <dc:description/>
  <cp:lastModifiedBy>Luigi Sgaglione</cp:lastModifiedBy>
  <cp:revision>1</cp:revision>
  <dcterms:created xsi:type="dcterms:W3CDTF">2024-05-27T08:12:00Z</dcterms:created>
  <dcterms:modified xsi:type="dcterms:W3CDTF">2024-05-27T10:47:00Z</dcterms:modified>
</cp:coreProperties>
</file>