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42E58" w14:textId="0F1A75BF" w:rsidR="00310F3B" w:rsidRPr="00310F3B" w:rsidRDefault="00310F3B" w:rsidP="00310F3B">
      <w:pPr>
        <w:spacing w:after="0" w:line="240" w:lineRule="auto"/>
        <w:ind w:left="360"/>
        <w:contextualSpacing/>
        <w:jc w:val="both"/>
        <w:rPr>
          <w:rFonts w:ascii="Times New Roman" w:eastAsia="Calibri" w:hAnsi="Times New Roman" w:cs="Times New Roman"/>
          <w:b/>
          <w:bCs/>
          <w:sz w:val="28"/>
          <w:szCs w:val="28"/>
        </w:rPr>
      </w:pPr>
      <w:r w:rsidRPr="00310F3B">
        <w:rPr>
          <w:rFonts w:ascii="Times New Roman" w:eastAsia="Calibri" w:hAnsi="Times New Roman" w:cs="Times New Roman"/>
          <w:b/>
          <w:bCs/>
          <w:sz w:val="28"/>
          <w:szCs w:val="28"/>
        </w:rPr>
        <w:t xml:space="preserve">Breve soluzione ragionata Quiz n. </w:t>
      </w:r>
      <w:r w:rsidR="003B4029">
        <w:rPr>
          <w:rFonts w:ascii="Times New Roman" w:eastAsia="Calibri" w:hAnsi="Times New Roman" w:cs="Times New Roman"/>
          <w:b/>
          <w:bCs/>
          <w:sz w:val="28"/>
          <w:szCs w:val="28"/>
        </w:rPr>
        <w:t>3</w:t>
      </w:r>
      <w:bookmarkStart w:id="0" w:name="_GoBack"/>
      <w:bookmarkEnd w:id="0"/>
    </w:p>
    <w:p w14:paraId="782DCD2D" w14:textId="77777777" w:rsidR="00310F3B" w:rsidRDefault="00310F3B" w:rsidP="00310F3B">
      <w:pPr>
        <w:spacing w:after="0" w:line="240" w:lineRule="auto"/>
        <w:ind w:left="360"/>
        <w:contextualSpacing/>
        <w:jc w:val="both"/>
        <w:rPr>
          <w:rFonts w:ascii="Times New Roman" w:eastAsia="Calibri" w:hAnsi="Times New Roman" w:cs="Times New Roman"/>
          <w:sz w:val="28"/>
          <w:szCs w:val="28"/>
        </w:rPr>
      </w:pPr>
    </w:p>
    <w:p w14:paraId="00777B0A" w14:textId="77777777" w:rsidR="00310F3B" w:rsidRDefault="00310F3B" w:rsidP="00310F3B">
      <w:pPr>
        <w:spacing w:after="0" w:line="240" w:lineRule="auto"/>
        <w:ind w:left="360"/>
        <w:contextualSpacing/>
        <w:jc w:val="both"/>
        <w:rPr>
          <w:rFonts w:ascii="Times New Roman" w:eastAsia="Calibri" w:hAnsi="Times New Roman" w:cs="Times New Roman"/>
          <w:sz w:val="28"/>
          <w:szCs w:val="28"/>
        </w:rPr>
      </w:pPr>
    </w:p>
    <w:p w14:paraId="151D7187" w14:textId="10254291" w:rsidR="00310F3B" w:rsidRPr="00310F3B" w:rsidRDefault="00310F3B" w:rsidP="00310F3B">
      <w:pPr>
        <w:spacing w:after="0" w:line="240" w:lineRule="auto"/>
        <w:ind w:left="360"/>
        <w:contextualSpacing/>
        <w:jc w:val="both"/>
        <w:rPr>
          <w:rFonts w:ascii="Times New Roman" w:eastAsia="Calibri" w:hAnsi="Times New Roman" w:cs="Times New Roman"/>
          <w:sz w:val="28"/>
          <w:szCs w:val="28"/>
        </w:rPr>
      </w:pPr>
      <w:r w:rsidRPr="00310F3B">
        <w:rPr>
          <w:rFonts w:ascii="Times New Roman" w:eastAsia="Calibri" w:hAnsi="Times New Roman" w:cs="Times New Roman"/>
          <w:sz w:val="28"/>
          <w:szCs w:val="28"/>
        </w:rPr>
        <w:t>Il contratto aperto si conclude mediante:</w:t>
      </w:r>
    </w:p>
    <w:p w14:paraId="2599064F" w14:textId="77777777" w:rsidR="00310F3B" w:rsidRPr="00310F3B" w:rsidRDefault="00310F3B" w:rsidP="00310F3B">
      <w:pPr>
        <w:numPr>
          <w:ilvl w:val="0"/>
          <w:numId w:val="1"/>
        </w:numPr>
        <w:spacing w:after="0" w:line="240" w:lineRule="auto"/>
        <w:contextualSpacing/>
        <w:jc w:val="both"/>
        <w:rPr>
          <w:rFonts w:ascii="Times New Roman" w:eastAsia="Calibri" w:hAnsi="Times New Roman" w:cs="Times New Roman"/>
          <w:sz w:val="28"/>
          <w:szCs w:val="28"/>
        </w:rPr>
      </w:pPr>
      <w:r w:rsidRPr="00310F3B">
        <w:rPr>
          <w:rFonts w:ascii="Times New Roman" w:eastAsia="Calibri" w:hAnsi="Times New Roman" w:cs="Times New Roman"/>
          <w:sz w:val="28"/>
          <w:szCs w:val="28"/>
        </w:rPr>
        <w:t xml:space="preserve">Offerta al pubblico ed adesione anche successiva </w:t>
      </w:r>
    </w:p>
    <w:p w14:paraId="7A93DC5D" w14:textId="77777777" w:rsidR="00310F3B" w:rsidRPr="00310F3B" w:rsidRDefault="00310F3B" w:rsidP="00310F3B">
      <w:pPr>
        <w:numPr>
          <w:ilvl w:val="0"/>
          <w:numId w:val="1"/>
        </w:numPr>
        <w:spacing w:after="0" w:line="240" w:lineRule="auto"/>
        <w:contextualSpacing/>
        <w:jc w:val="both"/>
        <w:rPr>
          <w:rFonts w:ascii="Times New Roman" w:eastAsia="Calibri" w:hAnsi="Times New Roman" w:cs="Times New Roman"/>
          <w:sz w:val="28"/>
          <w:szCs w:val="28"/>
          <w:highlight w:val="yellow"/>
        </w:rPr>
      </w:pPr>
      <w:r w:rsidRPr="00310F3B">
        <w:rPr>
          <w:rFonts w:ascii="Times New Roman" w:eastAsia="Calibri" w:hAnsi="Times New Roman" w:cs="Times New Roman"/>
          <w:sz w:val="28"/>
          <w:szCs w:val="28"/>
          <w:highlight w:val="yellow"/>
        </w:rPr>
        <w:t>Adesione, anche successiva, alla clausola di apertura</w:t>
      </w:r>
    </w:p>
    <w:p w14:paraId="1579C98F" w14:textId="77777777" w:rsidR="00310F3B" w:rsidRPr="00310F3B" w:rsidRDefault="00310F3B" w:rsidP="00310F3B">
      <w:pPr>
        <w:numPr>
          <w:ilvl w:val="0"/>
          <w:numId w:val="1"/>
        </w:numPr>
        <w:spacing w:after="0" w:line="240" w:lineRule="auto"/>
        <w:contextualSpacing/>
        <w:jc w:val="both"/>
        <w:rPr>
          <w:rFonts w:ascii="Times New Roman" w:eastAsia="Calibri" w:hAnsi="Times New Roman" w:cs="Times New Roman"/>
          <w:sz w:val="28"/>
          <w:szCs w:val="28"/>
        </w:rPr>
      </w:pPr>
      <w:r w:rsidRPr="00310F3B">
        <w:rPr>
          <w:rFonts w:ascii="Times New Roman" w:eastAsia="Calibri" w:hAnsi="Times New Roman" w:cs="Times New Roman"/>
          <w:sz w:val="28"/>
          <w:szCs w:val="28"/>
        </w:rPr>
        <w:t>Scambio di proposta e controproposta</w:t>
      </w:r>
    </w:p>
    <w:p w14:paraId="7C362A78" w14:textId="77777777" w:rsidR="00310F3B" w:rsidRPr="00310F3B" w:rsidRDefault="00310F3B" w:rsidP="00310F3B">
      <w:pPr>
        <w:numPr>
          <w:ilvl w:val="0"/>
          <w:numId w:val="1"/>
        </w:numPr>
        <w:spacing w:after="0" w:line="240" w:lineRule="auto"/>
        <w:contextualSpacing/>
        <w:jc w:val="both"/>
        <w:rPr>
          <w:rFonts w:ascii="Times New Roman" w:eastAsia="Calibri" w:hAnsi="Times New Roman" w:cs="Times New Roman"/>
          <w:sz w:val="28"/>
          <w:szCs w:val="28"/>
        </w:rPr>
      </w:pPr>
      <w:r w:rsidRPr="00310F3B">
        <w:rPr>
          <w:rFonts w:ascii="Times New Roman" w:eastAsia="Calibri" w:hAnsi="Times New Roman" w:cs="Times New Roman"/>
          <w:sz w:val="28"/>
          <w:szCs w:val="28"/>
        </w:rPr>
        <w:t>Scambio di invito a offrire ed accettazione</w:t>
      </w:r>
    </w:p>
    <w:p w14:paraId="45082E49" w14:textId="77777777" w:rsidR="00310F3B" w:rsidRPr="00310F3B" w:rsidRDefault="00310F3B" w:rsidP="00310F3B">
      <w:pPr>
        <w:spacing w:after="0" w:line="240" w:lineRule="auto"/>
        <w:rPr>
          <w:rFonts w:ascii="Times New Roman" w:eastAsia="Calibri" w:hAnsi="Times New Roman" w:cs="Times New Roman"/>
          <w:b/>
          <w:bCs/>
          <w:sz w:val="28"/>
          <w:szCs w:val="28"/>
        </w:rPr>
      </w:pPr>
    </w:p>
    <w:p w14:paraId="65E4878D"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b/>
          <w:bCs/>
          <w:color w:val="2F5496"/>
        </w:rPr>
        <w:t xml:space="preserve">SOLUZIONE: </w:t>
      </w:r>
      <w:r w:rsidRPr="00310F3B">
        <w:rPr>
          <w:rFonts w:ascii="Times New Roman" w:eastAsia="Calibri" w:hAnsi="Times New Roman" w:cs="Times New Roman"/>
          <w:color w:val="2F5496"/>
        </w:rPr>
        <w:t>A volte il contratto, già concluso e produttivo di effetti, resta aperto all’adesione di altre parti; è ciò che accade, ad esempio, nel caso dei contratti plurilaterali, quali quelli associativi</w:t>
      </w:r>
    </w:p>
    <w:p w14:paraId="0B310EAF" w14:textId="77777777" w:rsidR="00310F3B" w:rsidRPr="00310F3B" w:rsidRDefault="00310F3B" w:rsidP="00310F3B">
      <w:pPr>
        <w:spacing w:after="0" w:line="240" w:lineRule="auto"/>
        <w:rPr>
          <w:rFonts w:ascii="Times New Roman" w:eastAsia="Calibri" w:hAnsi="Times New Roman" w:cs="Times New Roman"/>
          <w:sz w:val="28"/>
          <w:szCs w:val="28"/>
        </w:rPr>
      </w:pPr>
    </w:p>
    <w:p w14:paraId="740CF69C" w14:textId="77777777" w:rsidR="00310F3B" w:rsidRPr="00310F3B" w:rsidRDefault="00310F3B" w:rsidP="00310F3B">
      <w:pPr>
        <w:spacing w:after="0" w:line="240" w:lineRule="auto"/>
        <w:jc w:val="both"/>
        <w:rPr>
          <w:rFonts w:ascii="Times New Roman" w:eastAsia="Calibri" w:hAnsi="Times New Roman" w:cs="Times New Roman"/>
          <w:b/>
          <w:bCs/>
          <w:color w:val="2F5496"/>
        </w:rPr>
      </w:pPr>
      <w:r w:rsidRPr="00310F3B">
        <w:rPr>
          <w:rFonts w:ascii="Times New Roman" w:eastAsia="Calibri" w:hAnsi="Times New Roman" w:cs="Times New Roman"/>
          <w:b/>
          <w:bCs/>
          <w:color w:val="2F5496"/>
        </w:rPr>
        <w:t>RIFERIMENTI BIBLIOGRAFICI:</w:t>
      </w:r>
    </w:p>
    <w:p w14:paraId="305DB0DD"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V. Roppo, Diritto Privato. Linee essenziali: Sez. VI, Cap. 24, par. 7</w:t>
      </w:r>
    </w:p>
    <w:p w14:paraId="1556E13C"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F. Bocchini-E. Quadri, Diritto privato: Parte VIII, Cap. 2, par. 15</w:t>
      </w:r>
    </w:p>
    <w:p w14:paraId="410B7132"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A. Torrente-P. Schlesinger, Manuale di diritto privato: Cap. XXVI, par. 271</w:t>
      </w:r>
    </w:p>
    <w:p w14:paraId="6F02600E"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A. Trabucchi, Istituzioni di diritto civile: Capo II, Sez. IV, par. 68</w:t>
      </w:r>
    </w:p>
    <w:p w14:paraId="492BF192"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P. Perlingieri, Manuale di diritto civile: Parte IV, Lett. Ad), par. 26</w:t>
      </w:r>
    </w:p>
    <w:p w14:paraId="35DF4AE0"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P. Trimarchi, Istituzioni di diritto privato: Cap. XXIX, lett. A, par. 208</w:t>
      </w:r>
    </w:p>
    <w:p w14:paraId="52484F3C" w14:textId="77777777" w:rsidR="00310F3B" w:rsidRPr="00310F3B" w:rsidRDefault="00310F3B" w:rsidP="00310F3B">
      <w:pPr>
        <w:spacing w:after="0" w:line="240" w:lineRule="auto"/>
        <w:rPr>
          <w:rFonts w:ascii="Times New Roman" w:eastAsia="Calibri" w:hAnsi="Times New Roman" w:cs="Times New Roman"/>
          <w:sz w:val="28"/>
          <w:szCs w:val="28"/>
        </w:rPr>
      </w:pPr>
    </w:p>
    <w:p w14:paraId="3B14A529" w14:textId="7A2641D1" w:rsidR="00310F3B" w:rsidRPr="00310F3B" w:rsidRDefault="00310F3B" w:rsidP="00310F3B">
      <w:pPr>
        <w:spacing w:after="0" w:line="240" w:lineRule="auto"/>
        <w:contextualSpacing/>
        <w:jc w:val="both"/>
        <w:rPr>
          <w:rFonts w:ascii="Times New Roman" w:eastAsia="Calibri" w:hAnsi="Times New Roman" w:cs="Times New Roman"/>
          <w:sz w:val="28"/>
          <w:szCs w:val="28"/>
        </w:rPr>
      </w:pPr>
      <w:r w:rsidRPr="00310F3B">
        <w:rPr>
          <w:rFonts w:ascii="Times New Roman" w:eastAsia="Calibri" w:hAnsi="Times New Roman" w:cs="Times New Roman"/>
          <w:sz w:val="28"/>
          <w:szCs w:val="28"/>
        </w:rPr>
        <w:t xml:space="preserve"> Si dice che un contratto è concluso mediante anticipata esecuzione quando:</w:t>
      </w:r>
    </w:p>
    <w:p w14:paraId="2210F31C" w14:textId="77777777" w:rsidR="00310F3B" w:rsidRPr="00310F3B" w:rsidRDefault="00310F3B" w:rsidP="00310F3B">
      <w:pPr>
        <w:numPr>
          <w:ilvl w:val="0"/>
          <w:numId w:val="2"/>
        </w:numPr>
        <w:spacing w:after="0" w:line="240" w:lineRule="auto"/>
        <w:contextualSpacing/>
        <w:jc w:val="both"/>
        <w:rPr>
          <w:rFonts w:ascii="Times New Roman" w:eastAsia="Calibri" w:hAnsi="Times New Roman" w:cs="Times New Roman"/>
          <w:sz w:val="28"/>
          <w:szCs w:val="28"/>
        </w:rPr>
      </w:pPr>
      <w:r w:rsidRPr="00310F3B">
        <w:rPr>
          <w:rFonts w:ascii="Times New Roman" w:eastAsia="Calibri" w:hAnsi="Times New Roman" w:cs="Times New Roman"/>
          <w:sz w:val="28"/>
          <w:szCs w:val="28"/>
        </w:rPr>
        <w:t>Vi è una proposta ed un obbligo di accettazione scritta</w:t>
      </w:r>
    </w:p>
    <w:p w14:paraId="7F4B2B25" w14:textId="77777777" w:rsidR="00310F3B" w:rsidRPr="00310F3B" w:rsidRDefault="00310F3B" w:rsidP="00310F3B">
      <w:pPr>
        <w:numPr>
          <w:ilvl w:val="0"/>
          <w:numId w:val="2"/>
        </w:numPr>
        <w:spacing w:after="0" w:line="240" w:lineRule="auto"/>
        <w:contextualSpacing/>
        <w:jc w:val="both"/>
        <w:rPr>
          <w:rFonts w:ascii="Times New Roman" w:eastAsia="Calibri" w:hAnsi="Times New Roman" w:cs="Times New Roman"/>
          <w:sz w:val="28"/>
          <w:szCs w:val="28"/>
          <w:highlight w:val="yellow"/>
        </w:rPr>
      </w:pPr>
      <w:r w:rsidRPr="00310F3B">
        <w:rPr>
          <w:rFonts w:ascii="Times New Roman" w:eastAsia="Calibri" w:hAnsi="Times New Roman" w:cs="Times New Roman"/>
          <w:sz w:val="28"/>
          <w:szCs w:val="28"/>
          <w:highlight w:val="yellow"/>
        </w:rPr>
        <w:t>Vi è una proposta cui segue immediatamente l’esecuzione della stessa</w:t>
      </w:r>
    </w:p>
    <w:p w14:paraId="01C33091" w14:textId="77777777" w:rsidR="00310F3B" w:rsidRPr="00310F3B" w:rsidRDefault="00310F3B" w:rsidP="00310F3B">
      <w:pPr>
        <w:numPr>
          <w:ilvl w:val="0"/>
          <w:numId w:val="2"/>
        </w:numPr>
        <w:spacing w:after="0" w:line="240" w:lineRule="auto"/>
        <w:contextualSpacing/>
        <w:jc w:val="both"/>
        <w:rPr>
          <w:rFonts w:ascii="Times New Roman" w:eastAsia="Calibri" w:hAnsi="Times New Roman" w:cs="Times New Roman"/>
          <w:sz w:val="28"/>
          <w:szCs w:val="28"/>
        </w:rPr>
      </w:pPr>
      <w:r w:rsidRPr="00310F3B">
        <w:rPr>
          <w:rFonts w:ascii="Times New Roman" w:eastAsia="Calibri" w:hAnsi="Times New Roman" w:cs="Times New Roman"/>
          <w:sz w:val="28"/>
          <w:szCs w:val="28"/>
        </w:rPr>
        <w:t>Vi è una proposta irrevocabile</w:t>
      </w:r>
    </w:p>
    <w:p w14:paraId="382AE38C" w14:textId="77777777" w:rsidR="00310F3B" w:rsidRPr="00310F3B" w:rsidRDefault="00310F3B" w:rsidP="00310F3B">
      <w:pPr>
        <w:numPr>
          <w:ilvl w:val="0"/>
          <w:numId w:val="2"/>
        </w:numPr>
        <w:spacing w:after="0" w:line="240" w:lineRule="auto"/>
        <w:contextualSpacing/>
        <w:jc w:val="both"/>
        <w:rPr>
          <w:rFonts w:ascii="Times New Roman" w:eastAsia="Calibri" w:hAnsi="Times New Roman" w:cs="Times New Roman"/>
          <w:sz w:val="28"/>
          <w:szCs w:val="28"/>
        </w:rPr>
      </w:pPr>
      <w:r w:rsidRPr="00310F3B">
        <w:rPr>
          <w:rFonts w:ascii="Times New Roman" w:eastAsia="Calibri" w:hAnsi="Times New Roman" w:cs="Times New Roman"/>
          <w:sz w:val="28"/>
          <w:szCs w:val="28"/>
        </w:rPr>
        <w:t>Vi è esecuzione prima della proposta</w:t>
      </w:r>
    </w:p>
    <w:p w14:paraId="60684687" w14:textId="77777777" w:rsidR="00310F3B" w:rsidRPr="00310F3B" w:rsidRDefault="00310F3B" w:rsidP="00310F3B">
      <w:pPr>
        <w:spacing w:after="0" w:line="240" w:lineRule="auto"/>
        <w:rPr>
          <w:rFonts w:ascii="Times New Roman" w:eastAsia="Calibri" w:hAnsi="Times New Roman" w:cs="Times New Roman"/>
          <w:b/>
          <w:bCs/>
          <w:sz w:val="28"/>
          <w:szCs w:val="28"/>
        </w:rPr>
      </w:pPr>
      <w:r w:rsidRPr="00310F3B">
        <w:rPr>
          <w:rFonts w:ascii="Times New Roman" w:eastAsia="Calibri" w:hAnsi="Times New Roman" w:cs="Times New Roman"/>
          <w:b/>
          <w:bCs/>
          <w:sz w:val="28"/>
          <w:szCs w:val="28"/>
        </w:rPr>
        <w:t xml:space="preserve"> </w:t>
      </w:r>
    </w:p>
    <w:p w14:paraId="1B66A3A1"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b/>
          <w:bCs/>
          <w:color w:val="2F5496"/>
        </w:rPr>
        <w:t xml:space="preserve">SOLUZIONE: </w:t>
      </w:r>
      <w:r w:rsidRPr="00310F3B">
        <w:rPr>
          <w:rFonts w:ascii="Times New Roman" w:eastAsia="Calibri" w:hAnsi="Times New Roman" w:cs="Times New Roman"/>
          <w:color w:val="2F5496"/>
        </w:rPr>
        <w:t>L’art. 1327 cod. civ. disciplina la fattispecie del contratto concluso “mediante inizio dell’esecuzione”, nel quale la conclusione non richiede una formale accettazione che giunga a conoscenza del proponente, essendo sufficiente che il destinatario della proposta dia avvio all’attività esecutiva della prestazione richiesta. Questa particolare modalità di conclusione del contratto può realizzarsi solo a condizione che il proponente, la natura dell’affare o gli usi consentano che la prestazione “debba eseguirsi senza una preventiva risposta”. In ogni caso, colui che accetta la proposta dando avvio all’esecuzione, deve darne prontamente avviso al proponente.</w:t>
      </w:r>
    </w:p>
    <w:p w14:paraId="4BA01142" w14:textId="77777777" w:rsidR="00310F3B" w:rsidRPr="00310F3B" w:rsidRDefault="00310F3B" w:rsidP="00310F3B">
      <w:pPr>
        <w:rPr>
          <w:rFonts w:ascii="Times New Roman" w:eastAsia="Calibri" w:hAnsi="Times New Roman" w:cs="Times New Roman"/>
          <w:sz w:val="28"/>
          <w:szCs w:val="28"/>
        </w:rPr>
      </w:pPr>
    </w:p>
    <w:p w14:paraId="56C2EC8A" w14:textId="77777777" w:rsidR="00310F3B" w:rsidRPr="00310F3B" w:rsidRDefault="00310F3B" w:rsidP="00310F3B">
      <w:pPr>
        <w:spacing w:after="0" w:line="240" w:lineRule="auto"/>
        <w:jc w:val="both"/>
        <w:rPr>
          <w:rFonts w:ascii="Times New Roman" w:eastAsia="Calibri" w:hAnsi="Times New Roman" w:cs="Times New Roman"/>
          <w:b/>
          <w:bCs/>
          <w:color w:val="2F5496"/>
        </w:rPr>
      </w:pPr>
      <w:r w:rsidRPr="00310F3B">
        <w:rPr>
          <w:rFonts w:ascii="Times New Roman" w:eastAsia="Calibri" w:hAnsi="Times New Roman" w:cs="Times New Roman"/>
          <w:b/>
          <w:bCs/>
          <w:color w:val="2F5496"/>
        </w:rPr>
        <w:t>RIFERIMENTI BIBLIOGRAFICI:</w:t>
      </w:r>
    </w:p>
    <w:p w14:paraId="0EF942A0"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V. Roppo, Diritto Privato. Linee essenziali: Sez. VI, Cap. 24, par. 4</w:t>
      </w:r>
    </w:p>
    <w:p w14:paraId="0B7DBB76"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F. Bocchini-E. Quadri, Diritto privato: Parte VIII, Cap. 2, par. 16</w:t>
      </w:r>
    </w:p>
    <w:p w14:paraId="718D4E58"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A. Torrente-P. Schlesinger, Manuale di diritto privato: Cap. XXVI, par. 268</w:t>
      </w:r>
    </w:p>
    <w:p w14:paraId="550373D0"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A. Trabucchi, Istituzioni di diritto civile: Capo II, Sez. IV, par. 68</w:t>
      </w:r>
    </w:p>
    <w:p w14:paraId="007ED77F"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P. Perlingieri, Manuale di diritto civile: Parte IV, Lett. Ad), par. 26</w:t>
      </w:r>
    </w:p>
    <w:p w14:paraId="1D1DC9F4"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P. Trimarchi, Istituzioni di diritto privato: Cap. XXIX, lett. A, par. 212</w:t>
      </w:r>
    </w:p>
    <w:p w14:paraId="1AD94C91" w14:textId="77777777" w:rsidR="00310F3B" w:rsidRPr="00310F3B" w:rsidRDefault="00310F3B" w:rsidP="00310F3B">
      <w:pPr>
        <w:rPr>
          <w:rFonts w:ascii="Times New Roman" w:eastAsia="Calibri" w:hAnsi="Times New Roman" w:cs="Times New Roman"/>
          <w:sz w:val="28"/>
          <w:szCs w:val="28"/>
        </w:rPr>
      </w:pPr>
    </w:p>
    <w:p w14:paraId="1D5B1B20" w14:textId="77777777" w:rsidR="00310F3B" w:rsidRPr="00310F3B" w:rsidRDefault="00310F3B" w:rsidP="00310F3B">
      <w:pPr>
        <w:spacing w:after="200" w:line="276" w:lineRule="auto"/>
        <w:contextualSpacing/>
        <w:jc w:val="both"/>
        <w:rPr>
          <w:rFonts w:ascii="Times New Roman" w:eastAsia="Calibri" w:hAnsi="Times New Roman" w:cs="Times New Roman"/>
          <w:sz w:val="28"/>
          <w:szCs w:val="28"/>
        </w:rPr>
      </w:pPr>
      <w:r w:rsidRPr="00310F3B">
        <w:rPr>
          <w:rFonts w:ascii="Times New Roman" w:eastAsia="Calibri" w:hAnsi="Times New Roman" w:cs="Times New Roman"/>
          <w:sz w:val="28"/>
          <w:szCs w:val="28"/>
        </w:rPr>
        <w:t xml:space="preserve"> In caso di simulazione relativa:</w:t>
      </w:r>
    </w:p>
    <w:p w14:paraId="4B2C5E8C" w14:textId="77777777" w:rsidR="00310F3B" w:rsidRPr="00310F3B" w:rsidRDefault="00310F3B" w:rsidP="00310F3B">
      <w:pPr>
        <w:numPr>
          <w:ilvl w:val="0"/>
          <w:numId w:val="3"/>
        </w:numPr>
        <w:contextualSpacing/>
        <w:jc w:val="both"/>
        <w:rPr>
          <w:rFonts w:ascii="Times New Roman" w:eastAsia="Calibri" w:hAnsi="Times New Roman" w:cs="Times New Roman"/>
          <w:sz w:val="28"/>
          <w:szCs w:val="28"/>
        </w:rPr>
      </w:pPr>
      <w:r w:rsidRPr="00310F3B">
        <w:rPr>
          <w:rFonts w:ascii="Times New Roman" w:eastAsia="Calibri" w:hAnsi="Times New Roman" w:cs="Times New Roman"/>
          <w:sz w:val="28"/>
          <w:szCs w:val="28"/>
        </w:rPr>
        <w:t>Il negozio dissimulato non produce mai effetto nei confronti dei terzi;</w:t>
      </w:r>
    </w:p>
    <w:p w14:paraId="003400BC" w14:textId="77777777" w:rsidR="00310F3B" w:rsidRPr="00310F3B" w:rsidRDefault="00310F3B" w:rsidP="00310F3B">
      <w:pPr>
        <w:numPr>
          <w:ilvl w:val="0"/>
          <w:numId w:val="3"/>
        </w:numPr>
        <w:contextualSpacing/>
        <w:jc w:val="both"/>
        <w:rPr>
          <w:rFonts w:ascii="Times New Roman" w:eastAsia="Calibri" w:hAnsi="Times New Roman" w:cs="Times New Roman"/>
          <w:sz w:val="28"/>
          <w:szCs w:val="28"/>
          <w:highlight w:val="yellow"/>
        </w:rPr>
      </w:pPr>
      <w:r w:rsidRPr="00310F3B">
        <w:rPr>
          <w:rFonts w:ascii="Times New Roman" w:eastAsia="Calibri" w:hAnsi="Times New Roman" w:cs="Times New Roman"/>
          <w:sz w:val="28"/>
          <w:szCs w:val="28"/>
          <w:highlight w:val="yellow"/>
        </w:rPr>
        <w:t>Il negozio dissimulato produce effetti se ne sussistono i requisiti di sostanza e di forma previsti dalla legge</w:t>
      </w:r>
    </w:p>
    <w:p w14:paraId="660CDC40" w14:textId="77777777" w:rsidR="00310F3B" w:rsidRPr="00310F3B" w:rsidRDefault="00310F3B" w:rsidP="00310F3B">
      <w:pPr>
        <w:numPr>
          <w:ilvl w:val="0"/>
          <w:numId w:val="3"/>
        </w:numPr>
        <w:contextualSpacing/>
        <w:jc w:val="both"/>
        <w:rPr>
          <w:rFonts w:ascii="Times New Roman" w:eastAsia="Calibri" w:hAnsi="Times New Roman" w:cs="Times New Roman"/>
          <w:sz w:val="28"/>
          <w:szCs w:val="28"/>
        </w:rPr>
      </w:pPr>
      <w:r w:rsidRPr="00310F3B">
        <w:rPr>
          <w:rFonts w:ascii="Times New Roman" w:eastAsia="Calibri" w:hAnsi="Times New Roman" w:cs="Times New Roman"/>
          <w:sz w:val="28"/>
          <w:szCs w:val="28"/>
        </w:rPr>
        <w:lastRenderedPageBreak/>
        <w:t>Il negozio simulato produce tutti gli effetti simulati dalle parti, se non vi sia ricorso da parte di chi ne abbia interesse</w:t>
      </w:r>
    </w:p>
    <w:p w14:paraId="166A66AF" w14:textId="77777777" w:rsidR="00310F3B" w:rsidRPr="00310F3B" w:rsidRDefault="00310F3B" w:rsidP="00310F3B">
      <w:pPr>
        <w:numPr>
          <w:ilvl w:val="0"/>
          <w:numId w:val="3"/>
        </w:numPr>
        <w:contextualSpacing/>
        <w:jc w:val="both"/>
        <w:rPr>
          <w:rFonts w:ascii="Times New Roman" w:eastAsia="Calibri" w:hAnsi="Times New Roman" w:cs="Times New Roman"/>
          <w:sz w:val="28"/>
          <w:szCs w:val="28"/>
        </w:rPr>
      </w:pPr>
      <w:r w:rsidRPr="00310F3B">
        <w:rPr>
          <w:rFonts w:ascii="Times New Roman" w:eastAsia="Calibri" w:hAnsi="Times New Roman" w:cs="Times New Roman"/>
          <w:sz w:val="28"/>
          <w:szCs w:val="28"/>
        </w:rPr>
        <w:t>Il negozio simulato produce effetti se le parti lo hanno espressamente stabilito</w:t>
      </w:r>
    </w:p>
    <w:p w14:paraId="0AF20ADD" w14:textId="77777777" w:rsidR="00310F3B" w:rsidRPr="00310F3B" w:rsidRDefault="00310F3B" w:rsidP="00310F3B">
      <w:pPr>
        <w:jc w:val="both"/>
        <w:rPr>
          <w:rFonts w:ascii="Times New Roman" w:eastAsia="Calibri" w:hAnsi="Times New Roman" w:cs="Times New Roman"/>
          <w:color w:val="2F5496"/>
        </w:rPr>
      </w:pPr>
      <w:r w:rsidRPr="00310F3B">
        <w:rPr>
          <w:rFonts w:ascii="Times New Roman" w:eastAsia="Calibri" w:hAnsi="Times New Roman" w:cs="Times New Roman"/>
          <w:b/>
          <w:bCs/>
          <w:color w:val="2F5496"/>
        </w:rPr>
        <w:t>SOLUZIONE:</w:t>
      </w:r>
      <w:r w:rsidRPr="00310F3B">
        <w:rPr>
          <w:rFonts w:ascii="Times New Roman" w:eastAsia="Calibri" w:hAnsi="Times New Roman" w:cs="Times New Roman"/>
          <w:color w:val="2F5496"/>
        </w:rPr>
        <w:t xml:space="preserve"> Nell’ipotesi di simulazione relativa, il contratto simulato non può produrre effetti tra le parti poiché esse sono d’accordo nell’averlo stipulato per mera apparenza, senza volerne realmente gli effetti. Ne deriva che tra loro ha effetto soltanto il contratto dissimulato, ma solo a condizione che esso abbia tutti i requisiti di forma e di sostanza, come richiesto dall’art. 1414, comma 2, cod. civ. </w:t>
      </w:r>
    </w:p>
    <w:p w14:paraId="0297781C" w14:textId="77777777" w:rsidR="00310F3B" w:rsidRPr="00310F3B" w:rsidRDefault="00310F3B" w:rsidP="00310F3B">
      <w:pPr>
        <w:spacing w:after="0" w:line="240" w:lineRule="auto"/>
        <w:jc w:val="both"/>
        <w:rPr>
          <w:rFonts w:ascii="Times New Roman" w:eastAsia="Calibri" w:hAnsi="Times New Roman" w:cs="Times New Roman"/>
          <w:b/>
          <w:bCs/>
          <w:color w:val="2F5496"/>
        </w:rPr>
      </w:pPr>
      <w:r w:rsidRPr="00310F3B">
        <w:rPr>
          <w:rFonts w:ascii="Times New Roman" w:eastAsia="Calibri" w:hAnsi="Times New Roman" w:cs="Times New Roman"/>
          <w:b/>
          <w:bCs/>
          <w:color w:val="2F5496"/>
        </w:rPr>
        <w:t>RIFERIMENTI BIBLIOGRAFICI:</w:t>
      </w:r>
    </w:p>
    <w:p w14:paraId="07E78A04"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V. Roppo, Diritto Privato. Linee essenziali: Sez. VI, Cap. 29, parr. 10-14</w:t>
      </w:r>
    </w:p>
    <w:p w14:paraId="58A665A4"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F. Bocchini-E. Quadri, Diritto privato: Parte VIII, Cap. 3, parr. 13-15</w:t>
      </w:r>
    </w:p>
    <w:p w14:paraId="0296192B"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A. Torrente-P. Schlesinger, Manuale di diritto privato: Cap. XXXVI, 331-336</w:t>
      </w:r>
    </w:p>
    <w:p w14:paraId="53502D95"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A. Trabucchi, Istituzioni di diritto civile: Capo II, Sez. I, par. 48</w:t>
      </w:r>
    </w:p>
    <w:p w14:paraId="45F1985B"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P. Perlingieri, Manuale di diritto civile: Parte IV, lett. Af), par. 54</w:t>
      </w:r>
    </w:p>
    <w:p w14:paraId="606EA2C3"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P. Trimarchi, Istituzioni di diritto privato: Cap. XIX, par. 125-130</w:t>
      </w:r>
    </w:p>
    <w:p w14:paraId="0F670C87" w14:textId="77777777" w:rsidR="00310F3B" w:rsidRPr="00310F3B" w:rsidRDefault="00310F3B" w:rsidP="00310F3B">
      <w:pPr>
        <w:ind w:left="360"/>
        <w:jc w:val="both"/>
        <w:rPr>
          <w:rFonts w:ascii="Times New Roman" w:eastAsia="Calibri" w:hAnsi="Times New Roman" w:cs="Times New Roman"/>
          <w:color w:val="2F5496"/>
        </w:rPr>
      </w:pPr>
    </w:p>
    <w:p w14:paraId="7F5849EA" w14:textId="77777777" w:rsidR="00310F3B" w:rsidRPr="00310F3B" w:rsidRDefault="00310F3B" w:rsidP="00310F3B">
      <w:pPr>
        <w:spacing w:before="100" w:beforeAutospacing="1" w:after="100" w:afterAutospacing="1" w:line="240" w:lineRule="auto"/>
        <w:jc w:val="both"/>
        <w:rPr>
          <w:rFonts w:ascii="Times New Roman" w:eastAsia="Times New Roman" w:hAnsi="Times New Roman" w:cs="Times New Roman"/>
          <w:sz w:val="28"/>
          <w:szCs w:val="28"/>
          <w:lang w:eastAsia="it-IT"/>
        </w:rPr>
      </w:pPr>
      <w:r w:rsidRPr="00310F3B">
        <w:rPr>
          <w:rFonts w:ascii="Times New Roman" w:eastAsia="Times New Roman" w:hAnsi="Times New Roman" w:cs="Times New Roman"/>
          <w:sz w:val="28"/>
          <w:szCs w:val="28"/>
          <w:lang w:eastAsia="it-IT"/>
        </w:rPr>
        <w:t xml:space="preserve"> Il contratto che il rappresentante conclude con </w:t>
      </w:r>
      <w:proofErr w:type="gramStart"/>
      <w:r w:rsidRPr="00310F3B">
        <w:rPr>
          <w:rFonts w:ascii="Times New Roman" w:eastAsia="Times New Roman" w:hAnsi="Times New Roman" w:cs="Times New Roman"/>
          <w:sz w:val="28"/>
          <w:szCs w:val="28"/>
          <w:lang w:eastAsia="it-IT"/>
        </w:rPr>
        <w:t>se</w:t>
      </w:r>
      <w:proofErr w:type="gramEnd"/>
      <w:r w:rsidRPr="00310F3B">
        <w:rPr>
          <w:rFonts w:ascii="Times New Roman" w:eastAsia="Times New Roman" w:hAnsi="Times New Roman" w:cs="Times New Roman"/>
          <w:sz w:val="28"/>
          <w:szCs w:val="28"/>
          <w:lang w:eastAsia="it-IT"/>
        </w:rPr>
        <w:t xml:space="preserve"> stesso, in proprio e come rappresentante dell’altra parte:</w:t>
      </w:r>
    </w:p>
    <w:p w14:paraId="7918A305" w14:textId="77777777" w:rsidR="00310F3B" w:rsidRPr="00310F3B" w:rsidRDefault="00310F3B" w:rsidP="00310F3B">
      <w:pPr>
        <w:numPr>
          <w:ilvl w:val="0"/>
          <w:numId w:val="6"/>
        </w:numPr>
        <w:spacing w:before="100" w:beforeAutospacing="1" w:after="100" w:afterAutospacing="1" w:line="240" w:lineRule="auto"/>
        <w:rPr>
          <w:rFonts w:ascii="Times New Roman" w:eastAsia="Times New Roman" w:hAnsi="Times New Roman" w:cs="Times New Roman"/>
          <w:sz w:val="28"/>
          <w:szCs w:val="28"/>
          <w:lang w:eastAsia="it-IT"/>
        </w:rPr>
      </w:pPr>
      <w:r w:rsidRPr="00310F3B">
        <w:rPr>
          <w:rFonts w:ascii="Times New Roman" w:eastAsia="Times New Roman" w:hAnsi="Times New Roman" w:cs="Times New Roman"/>
          <w:sz w:val="28"/>
          <w:szCs w:val="28"/>
          <w:lang w:eastAsia="it-IT"/>
        </w:rPr>
        <w:t>è nullo di diritto</w:t>
      </w:r>
    </w:p>
    <w:p w14:paraId="4132F153" w14:textId="77777777" w:rsidR="00310F3B" w:rsidRPr="00310F3B" w:rsidRDefault="00310F3B" w:rsidP="00310F3B">
      <w:pPr>
        <w:numPr>
          <w:ilvl w:val="0"/>
          <w:numId w:val="6"/>
        </w:numPr>
        <w:spacing w:before="100" w:beforeAutospacing="1" w:after="100" w:afterAutospacing="1" w:line="240" w:lineRule="auto"/>
        <w:rPr>
          <w:rFonts w:ascii="Times New Roman" w:eastAsia="Times New Roman" w:hAnsi="Times New Roman" w:cs="Times New Roman"/>
          <w:sz w:val="28"/>
          <w:szCs w:val="28"/>
          <w:lang w:eastAsia="it-IT"/>
        </w:rPr>
      </w:pPr>
      <w:r w:rsidRPr="00310F3B">
        <w:rPr>
          <w:rFonts w:ascii="Times New Roman" w:eastAsia="Times New Roman" w:hAnsi="Times New Roman" w:cs="Times New Roman"/>
          <w:sz w:val="28"/>
          <w:szCs w:val="28"/>
          <w:lang w:eastAsia="it-IT"/>
        </w:rPr>
        <w:t>è annullabile e l’impugnazione può essere proposta anche dal rappresentante</w:t>
      </w:r>
    </w:p>
    <w:p w14:paraId="5A60D664" w14:textId="77777777" w:rsidR="00310F3B" w:rsidRPr="00310F3B" w:rsidRDefault="00310F3B" w:rsidP="00310F3B">
      <w:pPr>
        <w:numPr>
          <w:ilvl w:val="0"/>
          <w:numId w:val="6"/>
        </w:numPr>
        <w:spacing w:before="100" w:beforeAutospacing="1" w:after="100" w:afterAutospacing="1" w:line="240" w:lineRule="auto"/>
        <w:rPr>
          <w:rFonts w:ascii="Times New Roman" w:eastAsia="Times New Roman" w:hAnsi="Times New Roman" w:cs="Times New Roman"/>
          <w:sz w:val="28"/>
          <w:szCs w:val="28"/>
          <w:highlight w:val="yellow"/>
          <w:lang w:eastAsia="it-IT"/>
        </w:rPr>
      </w:pPr>
      <w:r w:rsidRPr="00310F3B">
        <w:rPr>
          <w:rFonts w:ascii="Times New Roman" w:eastAsia="Times New Roman" w:hAnsi="Times New Roman" w:cs="Times New Roman"/>
          <w:sz w:val="28"/>
          <w:szCs w:val="28"/>
          <w:highlight w:val="yellow"/>
          <w:lang w:eastAsia="it-IT"/>
        </w:rPr>
        <w:t>è annullabile salvo che il rappresentato lo abbia autorizzato espressamente oppure qualora il contenuto del contratto sia tale da escludere la possibilità di un conflitto d’interessi</w:t>
      </w:r>
    </w:p>
    <w:p w14:paraId="500DA0FB" w14:textId="77777777" w:rsidR="00310F3B" w:rsidRPr="00310F3B" w:rsidRDefault="00310F3B" w:rsidP="00310F3B">
      <w:pPr>
        <w:numPr>
          <w:ilvl w:val="0"/>
          <w:numId w:val="6"/>
        </w:numPr>
        <w:spacing w:before="100" w:beforeAutospacing="1" w:after="100" w:afterAutospacing="1" w:line="240" w:lineRule="auto"/>
        <w:rPr>
          <w:rFonts w:ascii="Times New Roman" w:eastAsia="Times New Roman" w:hAnsi="Times New Roman" w:cs="Times New Roman"/>
          <w:sz w:val="28"/>
          <w:szCs w:val="28"/>
          <w:lang w:eastAsia="it-IT"/>
        </w:rPr>
      </w:pPr>
      <w:r w:rsidRPr="00310F3B">
        <w:rPr>
          <w:rFonts w:ascii="Times New Roman" w:eastAsia="Times New Roman" w:hAnsi="Times New Roman" w:cs="Times New Roman"/>
          <w:sz w:val="28"/>
          <w:szCs w:val="28"/>
          <w:lang w:eastAsia="it-IT"/>
        </w:rPr>
        <w:t>è valido</w:t>
      </w:r>
    </w:p>
    <w:p w14:paraId="35E5912E" w14:textId="77777777" w:rsidR="00310F3B" w:rsidRPr="00310F3B" w:rsidRDefault="00310F3B" w:rsidP="00310F3B">
      <w:pPr>
        <w:spacing w:before="100" w:beforeAutospacing="1" w:after="100" w:afterAutospacing="1" w:line="240" w:lineRule="auto"/>
        <w:jc w:val="both"/>
        <w:rPr>
          <w:rFonts w:ascii="Times New Roman" w:eastAsia="Times New Roman" w:hAnsi="Times New Roman" w:cs="Times New Roman"/>
          <w:color w:val="2F5496"/>
          <w:lang w:eastAsia="it-IT"/>
        </w:rPr>
      </w:pPr>
      <w:r w:rsidRPr="00310F3B">
        <w:rPr>
          <w:rFonts w:ascii="Times New Roman" w:eastAsia="Times New Roman" w:hAnsi="Times New Roman" w:cs="Times New Roman"/>
          <w:b/>
          <w:bCs/>
          <w:color w:val="2F5496"/>
          <w:lang w:eastAsia="it-IT"/>
        </w:rPr>
        <w:t xml:space="preserve">SOLUZIONE: </w:t>
      </w:r>
      <w:r w:rsidRPr="00310F3B">
        <w:rPr>
          <w:rFonts w:ascii="Times New Roman" w:eastAsia="Times New Roman" w:hAnsi="Times New Roman" w:cs="Times New Roman"/>
          <w:color w:val="2F5496"/>
          <w:lang w:eastAsia="it-IT"/>
        </w:rPr>
        <w:t xml:space="preserve">La norma dell’art. 1395 cod. civ. considera l’ipotesi del contratto concluso dal rappresentante con </w:t>
      </w:r>
      <w:proofErr w:type="gramStart"/>
      <w:r w:rsidRPr="00310F3B">
        <w:rPr>
          <w:rFonts w:ascii="Times New Roman" w:eastAsia="Times New Roman" w:hAnsi="Times New Roman" w:cs="Times New Roman"/>
          <w:color w:val="2F5496"/>
          <w:lang w:eastAsia="it-IT"/>
        </w:rPr>
        <w:t>se</w:t>
      </w:r>
      <w:proofErr w:type="gramEnd"/>
      <w:r w:rsidRPr="00310F3B">
        <w:rPr>
          <w:rFonts w:ascii="Times New Roman" w:eastAsia="Times New Roman" w:hAnsi="Times New Roman" w:cs="Times New Roman"/>
          <w:color w:val="2F5496"/>
          <w:lang w:eastAsia="it-IT"/>
        </w:rPr>
        <w:t xml:space="preserve"> stesso (quando, cioè il rappresentante ricopre la posizione di parte sia in senso formale e che sostanziale) rientrante in quella più generale del contratto concluso dal rappresentante in situazione di conflitto d’interessi; per tale ragione il codice dispone l’annullabilità anche di tale contratto. La presunzione di conflitto presupposta dalla norma è esclusa soltanto dalla espressa autorizzazione del rappresentato ovvero dalla natura della specifica operazione contrattuale.</w:t>
      </w:r>
    </w:p>
    <w:p w14:paraId="42FF5CF0" w14:textId="77777777" w:rsidR="00310F3B" w:rsidRPr="00310F3B" w:rsidRDefault="00310F3B" w:rsidP="00310F3B">
      <w:pPr>
        <w:spacing w:after="0" w:line="240" w:lineRule="auto"/>
        <w:jc w:val="both"/>
        <w:rPr>
          <w:rFonts w:ascii="Times New Roman" w:eastAsia="Calibri" w:hAnsi="Times New Roman" w:cs="Times New Roman"/>
          <w:b/>
          <w:bCs/>
          <w:color w:val="2F5496"/>
        </w:rPr>
      </w:pPr>
      <w:r w:rsidRPr="00310F3B">
        <w:rPr>
          <w:rFonts w:ascii="Times New Roman" w:eastAsia="Calibri" w:hAnsi="Times New Roman" w:cs="Times New Roman"/>
          <w:b/>
          <w:bCs/>
          <w:color w:val="2F5496"/>
        </w:rPr>
        <w:t>RIFERIMENTI BIBLIOGRAFICI:</w:t>
      </w:r>
    </w:p>
    <w:p w14:paraId="599D4B1D"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V. Roppo, Diritto Privato. Linee essenziali: Sez. VI, Cap. 25, par. 4</w:t>
      </w:r>
    </w:p>
    <w:p w14:paraId="02576EE8"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F. Bocchini-E. Quadri, Diritto privato: Parte VIII, Cap. 8, par. 5</w:t>
      </w:r>
    </w:p>
    <w:p w14:paraId="6F4665D0"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A. Torrente-P. Schlesinger, Manuale di diritto privato: Cap. XXIX, par. 294</w:t>
      </w:r>
    </w:p>
    <w:p w14:paraId="7ABCCADB"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A. Trabucchi, Istituzioni di diritto civile: Cap. II, Sez. I, par. 46</w:t>
      </w:r>
    </w:p>
    <w:p w14:paraId="37BF32DD" w14:textId="59902A83"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 xml:space="preserve">P. Perlingieri, Manuale di diritto civile: Parte Quarta, lett. </w:t>
      </w:r>
      <w:r>
        <w:rPr>
          <w:rFonts w:ascii="Times New Roman" w:eastAsia="Calibri" w:hAnsi="Times New Roman" w:cs="Times New Roman"/>
          <w:color w:val="2F5496"/>
        </w:rPr>
        <w:t>a</w:t>
      </w:r>
      <w:r w:rsidRPr="00310F3B">
        <w:rPr>
          <w:rFonts w:ascii="Times New Roman" w:eastAsia="Calibri" w:hAnsi="Times New Roman" w:cs="Times New Roman"/>
          <w:color w:val="2F5496"/>
        </w:rPr>
        <w:t>), par. 18</w:t>
      </w:r>
    </w:p>
    <w:p w14:paraId="3D0F1324"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P. Trimarchi, Istituzioni di diritto privato: Cap. XXIV, par. 183</w:t>
      </w:r>
    </w:p>
    <w:p w14:paraId="065E112A" w14:textId="77777777" w:rsidR="00310F3B" w:rsidRPr="00310F3B" w:rsidRDefault="00310F3B" w:rsidP="00310F3B">
      <w:pPr>
        <w:spacing w:before="100" w:beforeAutospacing="1" w:after="100" w:afterAutospacing="1" w:line="240" w:lineRule="auto"/>
        <w:jc w:val="both"/>
        <w:rPr>
          <w:rFonts w:ascii="Times New Roman" w:eastAsia="Times New Roman" w:hAnsi="Times New Roman" w:cs="Times New Roman"/>
          <w:sz w:val="24"/>
          <w:szCs w:val="24"/>
          <w:lang w:eastAsia="it-IT"/>
        </w:rPr>
      </w:pPr>
    </w:p>
    <w:p w14:paraId="61C53DDD" w14:textId="77777777" w:rsidR="00310F3B" w:rsidRPr="00310F3B" w:rsidRDefault="00310F3B" w:rsidP="00310F3B">
      <w:pPr>
        <w:spacing w:after="200" w:line="276" w:lineRule="auto"/>
        <w:contextualSpacing/>
        <w:jc w:val="both"/>
        <w:rPr>
          <w:rFonts w:ascii="Times New Roman" w:eastAsia="Calibri" w:hAnsi="Times New Roman" w:cs="Times New Roman"/>
          <w:sz w:val="28"/>
          <w:szCs w:val="28"/>
        </w:rPr>
      </w:pPr>
      <w:r w:rsidRPr="00310F3B">
        <w:rPr>
          <w:rFonts w:ascii="Times New Roman" w:eastAsia="Calibri" w:hAnsi="Times New Roman" w:cs="Times New Roman"/>
          <w:sz w:val="28"/>
          <w:szCs w:val="28"/>
        </w:rPr>
        <w:t>Nei contratti reali, il consenso dei contraenti è elemento</w:t>
      </w:r>
    </w:p>
    <w:p w14:paraId="66E33DAB" w14:textId="77777777" w:rsidR="00310F3B" w:rsidRPr="00310F3B" w:rsidRDefault="00310F3B" w:rsidP="00310F3B">
      <w:pPr>
        <w:numPr>
          <w:ilvl w:val="0"/>
          <w:numId w:val="4"/>
        </w:numPr>
        <w:spacing w:after="200" w:line="276" w:lineRule="auto"/>
        <w:contextualSpacing/>
        <w:rPr>
          <w:rFonts w:ascii="Times New Roman" w:eastAsia="Calibri" w:hAnsi="Times New Roman" w:cs="Times New Roman"/>
          <w:sz w:val="28"/>
          <w:szCs w:val="28"/>
        </w:rPr>
      </w:pPr>
      <w:r w:rsidRPr="00310F3B">
        <w:rPr>
          <w:rFonts w:ascii="Times New Roman" w:eastAsia="Calibri" w:hAnsi="Times New Roman" w:cs="Times New Roman"/>
          <w:sz w:val="28"/>
          <w:szCs w:val="28"/>
        </w:rPr>
        <w:t>necessario e sufficiente al perfezionamento del contratto</w:t>
      </w:r>
    </w:p>
    <w:p w14:paraId="36C1C906" w14:textId="77777777" w:rsidR="00310F3B" w:rsidRPr="00310F3B" w:rsidRDefault="00310F3B" w:rsidP="00310F3B">
      <w:pPr>
        <w:numPr>
          <w:ilvl w:val="0"/>
          <w:numId w:val="4"/>
        </w:numPr>
        <w:spacing w:after="200" w:line="276" w:lineRule="auto"/>
        <w:contextualSpacing/>
        <w:rPr>
          <w:rFonts w:ascii="Times New Roman" w:eastAsia="Calibri" w:hAnsi="Times New Roman" w:cs="Times New Roman"/>
          <w:sz w:val="28"/>
          <w:szCs w:val="28"/>
        </w:rPr>
      </w:pPr>
      <w:r w:rsidRPr="00310F3B">
        <w:rPr>
          <w:rFonts w:ascii="Times New Roman" w:eastAsia="Calibri" w:hAnsi="Times New Roman" w:cs="Times New Roman"/>
          <w:sz w:val="28"/>
          <w:szCs w:val="28"/>
        </w:rPr>
        <w:t>non necessario né sufficiente al perfezionamento del contratto</w:t>
      </w:r>
    </w:p>
    <w:p w14:paraId="4349C757" w14:textId="77777777" w:rsidR="00310F3B" w:rsidRPr="00310F3B" w:rsidRDefault="00310F3B" w:rsidP="00310F3B">
      <w:pPr>
        <w:numPr>
          <w:ilvl w:val="0"/>
          <w:numId w:val="4"/>
        </w:numPr>
        <w:spacing w:after="200" w:line="276" w:lineRule="auto"/>
        <w:contextualSpacing/>
        <w:rPr>
          <w:rFonts w:ascii="Times New Roman" w:eastAsia="Calibri" w:hAnsi="Times New Roman" w:cs="Times New Roman"/>
          <w:sz w:val="28"/>
          <w:szCs w:val="28"/>
          <w:highlight w:val="yellow"/>
        </w:rPr>
      </w:pPr>
      <w:r w:rsidRPr="00310F3B">
        <w:rPr>
          <w:rFonts w:ascii="Times New Roman" w:eastAsia="Calibri" w:hAnsi="Times New Roman" w:cs="Times New Roman"/>
          <w:sz w:val="28"/>
          <w:szCs w:val="28"/>
          <w:highlight w:val="yellow"/>
        </w:rPr>
        <w:t>necessario ma non sufficiente al perfezionamento del contratto</w:t>
      </w:r>
    </w:p>
    <w:p w14:paraId="00713E7C" w14:textId="77777777" w:rsidR="00310F3B" w:rsidRPr="00310F3B" w:rsidRDefault="00310F3B" w:rsidP="00310F3B">
      <w:pPr>
        <w:numPr>
          <w:ilvl w:val="0"/>
          <w:numId w:val="4"/>
        </w:numPr>
        <w:spacing w:after="200" w:line="276" w:lineRule="auto"/>
        <w:contextualSpacing/>
        <w:rPr>
          <w:rFonts w:ascii="Times New Roman" w:eastAsia="Calibri" w:hAnsi="Times New Roman" w:cs="Times New Roman"/>
          <w:sz w:val="28"/>
          <w:szCs w:val="28"/>
        </w:rPr>
      </w:pPr>
      <w:r w:rsidRPr="00310F3B">
        <w:rPr>
          <w:rFonts w:ascii="Times New Roman" w:eastAsia="Calibri" w:hAnsi="Times New Roman" w:cs="Times New Roman"/>
          <w:sz w:val="28"/>
          <w:szCs w:val="28"/>
        </w:rPr>
        <w:lastRenderedPageBreak/>
        <w:t>non necessario ma, ove espresso, sufficiente al perfezionamento del contratto</w:t>
      </w:r>
    </w:p>
    <w:p w14:paraId="1376C16A" w14:textId="77777777" w:rsidR="00310F3B" w:rsidRPr="00310F3B" w:rsidRDefault="00310F3B" w:rsidP="00310F3B">
      <w:pPr>
        <w:jc w:val="both"/>
        <w:rPr>
          <w:rFonts w:ascii="Times New Roman" w:eastAsia="Calibri" w:hAnsi="Times New Roman" w:cs="Times New Roman"/>
          <w:sz w:val="28"/>
          <w:szCs w:val="28"/>
        </w:rPr>
      </w:pPr>
      <w:r w:rsidRPr="00310F3B">
        <w:rPr>
          <w:rFonts w:ascii="Times New Roman" w:eastAsia="Calibri" w:hAnsi="Times New Roman" w:cs="Times New Roman"/>
          <w:b/>
          <w:bCs/>
          <w:color w:val="2F5496"/>
        </w:rPr>
        <w:t xml:space="preserve">SOLUZIONE: </w:t>
      </w:r>
      <w:r w:rsidRPr="00310F3B">
        <w:rPr>
          <w:rFonts w:ascii="Times New Roman" w:eastAsia="Calibri" w:hAnsi="Times New Roman" w:cs="Times New Roman"/>
          <w:color w:val="2F5496"/>
        </w:rPr>
        <w:t>I contratti reali sono quei contratti per la cui conclusione non è sufficiente lo scambio dei consensi, ma è necessaria – già per il perfezionamento del contratto, che altrimenti non sarebbe concluso e non impregnerebbe nessuno – la consegna della cosa. Tra i contratti reali si annoverano: il comodato, la donazione manuale, il deposito, il mutuo, il pegno. Per essi, prima della consegna il mero accordo non è vincolante; il vincolo si realizza solo al momento della effettiva esecuzione della prestazione.</w:t>
      </w:r>
    </w:p>
    <w:p w14:paraId="4DE6B2FC" w14:textId="77777777" w:rsidR="00310F3B" w:rsidRPr="00310F3B" w:rsidRDefault="00310F3B" w:rsidP="00310F3B">
      <w:pPr>
        <w:spacing w:after="0" w:line="240" w:lineRule="auto"/>
        <w:jc w:val="both"/>
        <w:rPr>
          <w:rFonts w:ascii="Times New Roman" w:eastAsia="Calibri" w:hAnsi="Times New Roman" w:cs="Times New Roman"/>
          <w:b/>
          <w:bCs/>
          <w:color w:val="2F5496"/>
        </w:rPr>
      </w:pPr>
      <w:r w:rsidRPr="00310F3B">
        <w:rPr>
          <w:rFonts w:ascii="Times New Roman" w:eastAsia="Calibri" w:hAnsi="Times New Roman" w:cs="Times New Roman"/>
          <w:b/>
          <w:bCs/>
          <w:color w:val="2F5496"/>
        </w:rPr>
        <w:t>RIFERIMENTI BIBLIOGRAFICI:</w:t>
      </w:r>
    </w:p>
    <w:p w14:paraId="266D4AB9"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V. Roppo, Diritto Privato. Linee essenziali: Sez. VI, Cap. 23, par. 8</w:t>
      </w:r>
    </w:p>
    <w:p w14:paraId="49D85CD8"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 xml:space="preserve">F. Bocchini-E. Quadri, Diritto privato: Parte VIII, Cap. 1, </w:t>
      </w:r>
    </w:p>
    <w:p w14:paraId="0C6EA8CF"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A. Torrente-P. Schlesinger, Manuale di diritto privato: Cap. XXV, par. 267</w:t>
      </w:r>
    </w:p>
    <w:p w14:paraId="0C4EB49D"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A. Trabucchi, Istituzioni di diritto civile: Capo II, Sez. IV, par. 78</w:t>
      </w:r>
    </w:p>
    <w:p w14:paraId="4273B357"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P. Perlingieri, Manuale di diritto civile: Parte IV</w:t>
      </w:r>
    </w:p>
    <w:p w14:paraId="6BB3F54F"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P. Trimarchi, Istituzioni di diritto privato: Cap. XXVII, par. 203</w:t>
      </w:r>
    </w:p>
    <w:p w14:paraId="71D6B655" w14:textId="77777777" w:rsidR="00310F3B" w:rsidRPr="00310F3B" w:rsidRDefault="00310F3B" w:rsidP="00310F3B">
      <w:pPr>
        <w:spacing w:after="0" w:line="240" w:lineRule="auto"/>
        <w:jc w:val="both"/>
        <w:rPr>
          <w:rFonts w:ascii="Times New Roman" w:eastAsia="Calibri" w:hAnsi="Times New Roman" w:cs="Times New Roman"/>
          <w:color w:val="2F5496"/>
        </w:rPr>
      </w:pPr>
    </w:p>
    <w:p w14:paraId="551DC49A" w14:textId="77777777" w:rsidR="00310F3B" w:rsidRPr="00310F3B" w:rsidRDefault="00310F3B" w:rsidP="00310F3B">
      <w:pPr>
        <w:spacing w:after="0" w:line="240" w:lineRule="auto"/>
        <w:jc w:val="both"/>
        <w:rPr>
          <w:rFonts w:ascii="Times New Roman" w:eastAsia="Calibri" w:hAnsi="Times New Roman" w:cs="Times New Roman"/>
          <w:color w:val="2F5496"/>
        </w:rPr>
      </w:pPr>
    </w:p>
    <w:p w14:paraId="720C2D2C" w14:textId="77777777" w:rsidR="00310F3B" w:rsidRPr="00310F3B" w:rsidRDefault="00310F3B" w:rsidP="00310F3B">
      <w:pPr>
        <w:spacing w:after="200" w:line="276" w:lineRule="auto"/>
        <w:contextualSpacing/>
        <w:jc w:val="both"/>
        <w:rPr>
          <w:rFonts w:ascii="Times New Roman" w:eastAsia="Calibri" w:hAnsi="Times New Roman" w:cs="Times New Roman"/>
          <w:sz w:val="28"/>
          <w:szCs w:val="28"/>
        </w:rPr>
      </w:pPr>
      <w:r w:rsidRPr="00310F3B">
        <w:rPr>
          <w:rFonts w:ascii="Times New Roman" w:eastAsia="Calibri" w:hAnsi="Times New Roman" w:cs="Times New Roman"/>
          <w:sz w:val="28"/>
          <w:szCs w:val="28"/>
        </w:rPr>
        <w:t>La trascrizione è</w:t>
      </w:r>
    </w:p>
    <w:p w14:paraId="582DDA08" w14:textId="77777777" w:rsidR="00310F3B" w:rsidRPr="00310F3B" w:rsidRDefault="00310F3B" w:rsidP="00310F3B">
      <w:pPr>
        <w:numPr>
          <w:ilvl w:val="0"/>
          <w:numId w:val="8"/>
        </w:numPr>
        <w:spacing w:after="200" w:line="276" w:lineRule="auto"/>
        <w:contextualSpacing/>
        <w:jc w:val="both"/>
        <w:rPr>
          <w:rFonts w:ascii="Times New Roman" w:eastAsia="Calibri" w:hAnsi="Times New Roman" w:cs="Times New Roman"/>
          <w:sz w:val="28"/>
          <w:szCs w:val="28"/>
          <w:highlight w:val="yellow"/>
        </w:rPr>
      </w:pPr>
      <w:r w:rsidRPr="00310F3B">
        <w:rPr>
          <w:rFonts w:ascii="Times New Roman" w:eastAsia="Calibri" w:hAnsi="Times New Roman" w:cs="Times New Roman"/>
          <w:sz w:val="28"/>
          <w:szCs w:val="28"/>
          <w:highlight w:val="yellow"/>
        </w:rPr>
        <w:t>un mezzo di pubblicità legale</w:t>
      </w:r>
    </w:p>
    <w:p w14:paraId="72125838" w14:textId="77777777" w:rsidR="00310F3B" w:rsidRPr="00310F3B" w:rsidRDefault="00310F3B" w:rsidP="00310F3B">
      <w:pPr>
        <w:numPr>
          <w:ilvl w:val="0"/>
          <w:numId w:val="8"/>
        </w:numPr>
        <w:spacing w:after="200" w:line="276" w:lineRule="auto"/>
        <w:contextualSpacing/>
        <w:jc w:val="both"/>
        <w:rPr>
          <w:rFonts w:ascii="Times New Roman" w:eastAsia="Calibri" w:hAnsi="Times New Roman" w:cs="Times New Roman"/>
          <w:sz w:val="28"/>
          <w:szCs w:val="28"/>
        </w:rPr>
      </w:pPr>
      <w:r w:rsidRPr="00310F3B">
        <w:rPr>
          <w:rFonts w:ascii="Times New Roman" w:eastAsia="Calibri" w:hAnsi="Times New Roman" w:cs="Times New Roman"/>
          <w:sz w:val="28"/>
          <w:szCs w:val="28"/>
        </w:rPr>
        <w:t>un requisito di validità del contratto avente ad oggetto diritti reali immobiliari</w:t>
      </w:r>
    </w:p>
    <w:p w14:paraId="44CF4B16" w14:textId="77777777" w:rsidR="00310F3B" w:rsidRPr="00310F3B" w:rsidRDefault="00310F3B" w:rsidP="00310F3B">
      <w:pPr>
        <w:numPr>
          <w:ilvl w:val="0"/>
          <w:numId w:val="8"/>
        </w:numPr>
        <w:spacing w:after="200" w:line="276" w:lineRule="auto"/>
        <w:contextualSpacing/>
        <w:jc w:val="both"/>
        <w:rPr>
          <w:rFonts w:ascii="Times New Roman" w:eastAsia="Calibri" w:hAnsi="Times New Roman" w:cs="Times New Roman"/>
          <w:sz w:val="28"/>
          <w:szCs w:val="28"/>
        </w:rPr>
      </w:pPr>
      <w:r w:rsidRPr="00310F3B">
        <w:rPr>
          <w:rFonts w:ascii="Times New Roman" w:eastAsia="Calibri" w:hAnsi="Times New Roman" w:cs="Times New Roman"/>
          <w:sz w:val="28"/>
          <w:szCs w:val="28"/>
        </w:rPr>
        <w:t>uno strumento di conservazione degli atti pubblici</w:t>
      </w:r>
    </w:p>
    <w:p w14:paraId="5F8076D0" w14:textId="77777777" w:rsidR="00310F3B" w:rsidRPr="00310F3B" w:rsidRDefault="00310F3B" w:rsidP="00310F3B">
      <w:pPr>
        <w:numPr>
          <w:ilvl w:val="0"/>
          <w:numId w:val="8"/>
        </w:numPr>
        <w:spacing w:after="200" w:line="276" w:lineRule="auto"/>
        <w:contextualSpacing/>
        <w:jc w:val="both"/>
        <w:rPr>
          <w:rFonts w:ascii="Times New Roman" w:eastAsia="Calibri" w:hAnsi="Times New Roman" w:cs="Times New Roman"/>
          <w:sz w:val="28"/>
          <w:szCs w:val="28"/>
        </w:rPr>
      </w:pPr>
      <w:r w:rsidRPr="00310F3B">
        <w:rPr>
          <w:rFonts w:ascii="Times New Roman" w:eastAsia="Calibri" w:hAnsi="Times New Roman" w:cs="Times New Roman"/>
          <w:sz w:val="28"/>
          <w:szCs w:val="28"/>
        </w:rPr>
        <w:t>un elemento essenziale del contratto</w:t>
      </w:r>
    </w:p>
    <w:p w14:paraId="5E5AF203" w14:textId="77777777" w:rsidR="00310F3B" w:rsidRPr="00310F3B" w:rsidRDefault="00310F3B" w:rsidP="00310F3B">
      <w:pPr>
        <w:jc w:val="both"/>
        <w:rPr>
          <w:rFonts w:ascii="Times New Roman" w:eastAsia="Calibri" w:hAnsi="Times New Roman" w:cs="Times New Roman"/>
          <w:color w:val="2F5496"/>
        </w:rPr>
      </w:pPr>
      <w:r w:rsidRPr="00310F3B">
        <w:rPr>
          <w:rFonts w:ascii="Times New Roman" w:eastAsia="Calibri" w:hAnsi="Times New Roman" w:cs="Times New Roman"/>
          <w:b/>
          <w:bCs/>
          <w:color w:val="2F5496"/>
        </w:rPr>
        <w:t xml:space="preserve">SOLUZIONE: </w:t>
      </w:r>
      <w:r w:rsidRPr="00310F3B">
        <w:rPr>
          <w:rFonts w:ascii="Times New Roman" w:eastAsia="Calibri" w:hAnsi="Times New Roman" w:cs="Times New Roman"/>
          <w:color w:val="2F5496"/>
        </w:rPr>
        <w:t>In relazione ad atti aventi ad oggetto beni immobili si pone la necessità di assicurare certezza alla circolazione dei rispettivi diritti al fine di rendere conoscibile il compimento di detti atti, nonché di dirimere eventuali conflitti che dovessero sorgere sulla titolarità di tali diritti. La trascrizione assolve proprio a queste funzioni; pertanto, essa ha mera efficacia dichiarativa, non incidendo in alcun modo sulla produzione degli effetti del contratto, né tantomeno sulla sanatoria di eventuali vizi dello stesso. Per questa ragione la trascrizione si distingue dall’iscrizione, che è riferita esclusivamente all’ipoteca, che invece è costitutiva del diritto di garanzia.</w:t>
      </w:r>
    </w:p>
    <w:p w14:paraId="62033EDF" w14:textId="77777777" w:rsidR="00310F3B" w:rsidRPr="00310F3B" w:rsidRDefault="00310F3B" w:rsidP="00310F3B">
      <w:pPr>
        <w:spacing w:after="0" w:line="240" w:lineRule="auto"/>
        <w:jc w:val="both"/>
        <w:rPr>
          <w:rFonts w:ascii="Times New Roman" w:eastAsia="Calibri" w:hAnsi="Times New Roman" w:cs="Times New Roman"/>
          <w:b/>
          <w:bCs/>
          <w:color w:val="2F5496"/>
        </w:rPr>
      </w:pPr>
      <w:r w:rsidRPr="00310F3B">
        <w:rPr>
          <w:rFonts w:ascii="Times New Roman" w:eastAsia="Calibri" w:hAnsi="Times New Roman" w:cs="Times New Roman"/>
          <w:b/>
          <w:bCs/>
          <w:color w:val="2F5496"/>
        </w:rPr>
        <w:t>RIFERIMENTI BIBLIOGRAFICI:</w:t>
      </w:r>
    </w:p>
    <w:p w14:paraId="318FCC6D"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V. Roppo, Diritto Privato. Linee essenziali: Sez. IV, Cap. 16</w:t>
      </w:r>
    </w:p>
    <w:p w14:paraId="74A23C26"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F. Bocchini-E. Quadri, Diritto privato: Parte XIV, Cap. 2</w:t>
      </w:r>
    </w:p>
    <w:p w14:paraId="0EEA73BF"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A. Torrente-P. Schlesinger, Manuale di diritto privato: Cap. LXXXI</w:t>
      </w:r>
    </w:p>
    <w:p w14:paraId="53671644"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A. Trabucchi, Istituzioni di diritto civile: Capo II, Sez. 5, parr. 91-94</w:t>
      </w:r>
    </w:p>
    <w:p w14:paraId="34CE0B2A"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P. Perlingieri, Manuale di diritto civile: Parte Quarta, lett. E</w:t>
      </w:r>
    </w:p>
    <w:p w14:paraId="5F8F29A4"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P. Trimarchi, Istituzioni di diritto privato: Cap. LVII</w:t>
      </w:r>
    </w:p>
    <w:p w14:paraId="123D5B30" w14:textId="77777777" w:rsidR="00310F3B" w:rsidRPr="00310F3B" w:rsidRDefault="00310F3B" w:rsidP="00310F3B">
      <w:pPr>
        <w:jc w:val="both"/>
        <w:rPr>
          <w:rFonts w:ascii="Calibri" w:eastAsia="Calibri" w:hAnsi="Calibri" w:cs="Times New Roman"/>
        </w:rPr>
      </w:pPr>
    </w:p>
    <w:p w14:paraId="56DFF569" w14:textId="77777777" w:rsidR="00310F3B" w:rsidRPr="00310F3B" w:rsidRDefault="00310F3B" w:rsidP="00310F3B">
      <w:pPr>
        <w:rPr>
          <w:rFonts w:ascii="Calibri" w:eastAsia="Calibri" w:hAnsi="Calibri" w:cs="Times New Roman"/>
        </w:rPr>
      </w:pPr>
    </w:p>
    <w:p w14:paraId="68D6A717" w14:textId="77777777" w:rsidR="00310F3B" w:rsidRPr="00310F3B" w:rsidRDefault="00310F3B" w:rsidP="00310F3B">
      <w:pPr>
        <w:spacing w:after="200" w:line="276" w:lineRule="auto"/>
        <w:contextualSpacing/>
        <w:rPr>
          <w:rFonts w:ascii="Times New Roman" w:eastAsia="Calibri" w:hAnsi="Times New Roman" w:cs="Times New Roman"/>
          <w:sz w:val="28"/>
          <w:szCs w:val="28"/>
        </w:rPr>
      </w:pPr>
      <w:r w:rsidRPr="00310F3B">
        <w:rPr>
          <w:rFonts w:ascii="Times New Roman" w:eastAsia="Calibri" w:hAnsi="Times New Roman" w:cs="Times New Roman"/>
          <w:sz w:val="28"/>
          <w:szCs w:val="28"/>
        </w:rPr>
        <w:t>Nel caso di danno cagionato da esercizio di attività pericolose, l'esercente è tenuto a risarcire il danno:</w:t>
      </w:r>
    </w:p>
    <w:p w14:paraId="0DD5176B" w14:textId="77777777" w:rsidR="00310F3B" w:rsidRPr="00310F3B" w:rsidRDefault="00310F3B" w:rsidP="00310F3B">
      <w:pPr>
        <w:numPr>
          <w:ilvl w:val="0"/>
          <w:numId w:val="5"/>
        </w:numPr>
        <w:spacing w:after="200" w:line="276" w:lineRule="auto"/>
        <w:contextualSpacing/>
        <w:rPr>
          <w:rFonts w:ascii="Times New Roman" w:eastAsia="Calibri" w:hAnsi="Times New Roman" w:cs="Times New Roman"/>
          <w:sz w:val="28"/>
          <w:szCs w:val="28"/>
        </w:rPr>
      </w:pPr>
      <w:r w:rsidRPr="00310F3B">
        <w:rPr>
          <w:rFonts w:ascii="Times New Roman" w:eastAsia="Calibri" w:hAnsi="Times New Roman" w:cs="Times New Roman"/>
          <w:sz w:val="28"/>
          <w:szCs w:val="28"/>
        </w:rPr>
        <w:t>si, se non prova di aver agito in buona fede</w:t>
      </w:r>
    </w:p>
    <w:p w14:paraId="42F0133A" w14:textId="77777777" w:rsidR="00310F3B" w:rsidRPr="00310F3B" w:rsidRDefault="00310F3B" w:rsidP="00310F3B">
      <w:pPr>
        <w:numPr>
          <w:ilvl w:val="0"/>
          <w:numId w:val="5"/>
        </w:numPr>
        <w:spacing w:after="200" w:line="276" w:lineRule="auto"/>
        <w:contextualSpacing/>
        <w:rPr>
          <w:rFonts w:ascii="Times New Roman" w:eastAsia="Calibri" w:hAnsi="Times New Roman" w:cs="Times New Roman"/>
          <w:sz w:val="28"/>
          <w:szCs w:val="28"/>
          <w:highlight w:val="yellow"/>
        </w:rPr>
      </w:pPr>
      <w:r w:rsidRPr="00310F3B">
        <w:rPr>
          <w:rFonts w:ascii="Times New Roman" w:eastAsia="Calibri" w:hAnsi="Times New Roman" w:cs="Times New Roman"/>
          <w:sz w:val="28"/>
          <w:szCs w:val="28"/>
          <w:highlight w:val="yellow"/>
        </w:rPr>
        <w:t>si, se non prova di aver adottato tutte le misure idonee ad evitare il danno</w:t>
      </w:r>
    </w:p>
    <w:p w14:paraId="0F1E6A1F" w14:textId="77777777" w:rsidR="00310F3B" w:rsidRPr="00310F3B" w:rsidRDefault="00310F3B" w:rsidP="00310F3B">
      <w:pPr>
        <w:numPr>
          <w:ilvl w:val="0"/>
          <w:numId w:val="5"/>
        </w:numPr>
        <w:spacing w:after="200" w:line="276" w:lineRule="auto"/>
        <w:contextualSpacing/>
        <w:rPr>
          <w:rFonts w:ascii="Times New Roman" w:eastAsia="Calibri" w:hAnsi="Times New Roman" w:cs="Times New Roman"/>
          <w:sz w:val="28"/>
          <w:szCs w:val="28"/>
        </w:rPr>
      </w:pPr>
      <w:r w:rsidRPr="00310F3B">
        <w:rPr>
          <w:rFonts w:ascii="Times New Roman" w:eastAsia="Calibri" w:hAnsi="Times New Roman" w:cs="Times New Roman"/>
          <w:sz w:val="28"/>
          <w:szCs w:val="28"/>
        </w:rPr>
        <w:t>no, poiché non risponde proprio a causa della pericolosità dell'attività</w:t>
      </w:r>
    </w:p>
    <w:p w14:paraId="1CD9D6C5" w14:textId="77777777" w:rsidR="00310F3B" w:rsidRPr="00310F3B" w:rsidRDefault="00310F3B" w:rsidP="00310F3B">
      <w:pPr>
        <w:numPr>
          <w:ilvl w:val="0"/>
          <w:numId w:val="5"/>
        </w:numPr>
        <w:spacing w:after="200" w:line="276" w:lineRule="auto"/>
        <w:contextualSpacing/>
        <w:rPr>
          <w:rFonts w:ascii="Times New Roman" w:eastAsia="Calibri" w:hAnsi="Times New Roman" w:cs="Times New Roman"/>
          <w:sz w:val="28"/>
          <w:szCs w:val="28"/>
        </w:rPr>
      </w:pPr>
      <w:r w:rsidRPr="00310F3B">
        <w:rPr>
          <w:rFonts w:ascii="Times New Roman" w:eastAsia="Calibri" w:hAnsi="Times New Roman" w:cs="Times New Roman"/>
          <w:sz w:val="28"/>
          <w:szCs w:val="28"/>
        </w:rPr>
        <w:t>no, poiché il fatto non è a lui imputabile</w:t>
      </w:r>
    </w:p>
    <w:p w14:paraId="6C10FD2F" w14:textId="77777777" w:rsidR="00310F3B" w:rsidRPr="00310F3B" w:rsidRDefault="00310F3B" w:rsidP="00310F3B">
      <w:pPr>
        <w:jc w:val="both"/>
        <w:rPr>
          <w:rFonts w:ascii="Times New Roman" w:eastAsia="Calibri" w:hAnsi="Times New Roman" w:cs="Times New Roman"/>
          <w:sz w:val="28"/>
          <w:szCs w:val="28"/>
        </w:rPr>
      </w:pPr>
      <w:r w:rsidRPr="00310F3B">
        <w:rPr>
          <w:rFonts w:ascii="Times New Roman" w:eastAsia="Calibri" w:hAnsi="Times New Roman" w:cs="Times New Roman"/>
          <w:b/>
          <w:bCs/>
          <w:color w:val="2F5496"/>
        </w:rPr>
        <w:t xml:space="preserve">SOLUZIONE: </w:t>
      </w:r>
      <w:r w:rsidRPr="00310F3B">
        <w:rPr>
          <w:rFonts w:ascii="Times New Roman" w:eastAsia="Calibri" w:hAnsi="Times New Roman" w:cs="Times New Roman"/>
          <w:color w:val="2F5496"/>
        </w:rPr>
        <w:t xml:space="preserve">A differenza della clausola generale di cui all’art. 2043 cod. civ. – che opera per ogni fatto doloso o colposo che cagioni ad altri un danno ingiusto – il codice civile prevede alcune ipotesi al ricorrere </w:t>
      </w:r>
      <w:r w:rsidRPr="00310F3B">
        <w:rPr>
          <w:rFonts w:ascii="Times New Roman" w:eastAsia="Calibri" w:hAnsi="Times New Roman" w:cs="Times New Roman"/>
          <w:color w:val="2F5496"/>
        </w:rPr>
        <w:lastRenderedPageBreak/>
        <w:t>delle quali la legge imputa la responsabilità ad un soggetto, a prescindere dal dolo o dalla colpa. L’art. 2050 cod. civ. disciplina una di queste ipotesi, in caso di esercizio di attività pericolose, prevedendo che l’esercente sia tenuto a risarcire i danni ricollegabili a dette attività, salvo che provi “di avere adottato tutte le misure idonee ad evitare il danno”. La ragione che giustifica la disciplina di questa fattispecie di responsabilità oggettiva dipende dall’assunzione da parte dell’esercente del rischio connesso all’esercizio di siffatta attività (generalmente produttiva di significativi profitti), intrinsecamente idonea ad esporre a pregiudizio l’intera sfera dei consociati.</w:t>
      </w:r>
    </w:p>
    <w:p w14:paraId="62CDE810" w14:textId="77777777" w:rsidR="00310F3B" w:rsidRPr="00310F3B" w:rsidRDefault="00310F3B" w:rsidP="00310F3B">
      <w:pPr>
        <w:spacing w:after="0" w:line="240" w:lineRule="auto"/>
        <w:jc w:val="both"/>
        <w:rPr>
          <w:rFonts w:ascii="Times New Roman" w:eastAsia="Calibri" w:hAnsi="Times New Roman" w:cs="Times New Roman"/>
          <w:b/>
          <w:bCs/>
          <w:color w:val="2F5496"/>
        </w:rPr>
      </w:pPr>
      <w:r w:rsidRPr="00310F3B">
        <w:rPr>
          <w:rFonts w:ascii="Times New Roman" w:eastAsia="Calibri" w:hAnsi="Times New Roman" w:cs="Times New Roman"/>
          <w:b/>
          <w:bCs/>
          <w:color w:val="2F5496"/>
        </w:rPr>
        <w:t>RIFERIMENTI BIBLIOGRAFICI:</w:t>
      </w:r>
    </w:p>
    <w:p w14:paraId="104C8E8C"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V. Roppo, Diritto Privato. Linee essenziali: Sez. VIII, Cap. 38, par. 4</w:t>
      </w:r>
    </w:p>
    <w:p w14:paraId="64055771"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F. Bocchini-E. Quadri, Diritto privato: Parte X, Cap. 1, par. 7</w:t>
      </w:r>
    </w:p>
    <w:p w14:paraId="3BF867F0"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A. Torrente-P. Schlesinger, Manuale di diritto privato: Cap. LV, par. 460</w:t>
      </w:r>
    </w:p>
    <w:p w14:paraId="43B82C84"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A. Trabucchi, Istituzioni di diritto civile: Capo XII, Sez. III, par. 423 lett. e)</w:t>
      </w:r>
    </w:p>
    <w:p w14:paraId="0B90A4FD"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P. Perlingieri, Manuale di diritto civile: Parte Quinta, lett. b), par. 11</w:t>
      </w:r>
    </w:p>
    <w:p w14:paraId="47163A01" w14:textId="77777777" w:rsidR="00310F3B" w:rsidRPr="00310F3B" w:rsidRDefault="00310F3B" w:rsidP="00310F3B">
      <w:pPr>
        <w:spacing w:after="0" w:line="240" w:lineRule="auto"/>
        <w:jc w:val="both"/>
        <w:rPr>
          <w:rFonts w:ascii="Times New Roman" w:eastAsia="Calibri" w:hAnsi="Times New Roman" w:cs="Times New Roman"/>
          <w:color w:val="2F5496"/>
        </w:rPr>
      </w:pPr>
      <w:r w:rsidRPr="00310F3B">
        <w:rPr>
          <w:rFonts w:ascii="Times New Roman" w:eastAsia="Calibri" w:hAnsi="Times New Roman" w:cs="Times New Roman"/>
          <w:color w:val="2F5496"/>
        </w:rPr>
        <w:t>P. Trimarchi, Istituzioni di diritto privato: Cap. XIV, par. 94</w:t>
      </w:r>
    </w:p>
    <w:p w14:paraId="556B365C" w14:textId="77777777" w:rsidR="00E74F13" w:rsidRDefault="00E74F13"/>
    <w:sectPr w:rsidR="00E74F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8429C"/>
    <w:multiLevelType w:val="hybridMultilevel"/>
    <w:tmpl w:val="151C457A"/>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 w15:restartNumberingAfterBreak="0">
    <w:nsid w:val="40425E7B"/>
    <w:multiLevelType w:val="hybridMultilevel"/>
    <w:tmpl w:val="DFB012F8"/>
    <w:lvl w:ilvl="0" w:tplc="51A81206">
      <w:start w:val="1"/>
      <w:numFmt w:val="lowerLetter"/>
      <w:lvlText w:val="%1)"/>
      <w:lvlJc w:val="left"/>
      <w:pPr>
        <w:ind w:left="1080" w:hanging="360"/>
      </w:pPr>
      <w:rPr>
        <w:rFonts w:ascii="Times New Roman" w:hAnsi="Times New Roman" w:cstheme="minorBidi"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4C0B16CF"/>
    <w:multiLevelType w:val="hybridMultilevel"/>
    <w:tmpl w:val="5A666D74"/>
    <w:lvl w:ilvl="0" w:tplc="F45E75D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671C7A6A"/>
    <w:multiLevelType w:val="hybridMultilevel"/>
    <w:tmpl w:val="4E94E2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7D070BF"/>
    <w:multiLevelType w:val="hybridMultilevel"/>
    <w:tmpl w:val="5EE297F2"/>
    <w:lvl w:ilvl="0" w:tplc="51A81206">
      <w:start w:val="1"/>
      <w:numFmt w:val="lowerLetter"/>
      <w:lvlText w:val="%1)"/>
      <w:lvlJc w:val="left"/>
      <w:pPr>
        <w:ind w:left="1440" w:hanging="360"/>
      </w:pPr>
      <w:rPr>
        <w:rFonts w:ascii="Times New Roman" w:hAnsi="Times New Roman" w:cstheme="minorBidi"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69717364"/>
    <w:multiLevelType w:val="hybridMultilevel"/>
    <w:tmpl w:val="47EEC8DC"/>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6" w15:restartNumberingAfterBreak="0">
    <w:nsid w:val="701349F5"/>
    <w:multiLevelType w:val="hybridMultilevel"/>
    <w:tmpl w:val="E8268638"/>
    <w:lvl w:ilvl="0" w:tplc="C6BA7798">
      <w:start w:val="16"/>
      <w:numFmt w:val="decimal"/>
      <w:lvlText w:val="%1."/>
      <w:lvlJc w:val="left"/>
      <w:pPr>
        <w:ind w:left="1095" w:hanging="375"/>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7EC771A8"/>
    <w:multiLevelType w:val="hybridMultilevel"/>
    <w:tmpl w:val="BA62E954"/>
    <w:lvl w:ilvl="0" w:tplc="714CF14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3B"/>
    <w:rsid w:val="00310F3B"/>
    <w:rsid w:val="003B4029"/>
    <w:rsid w:val="00E74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9617"/>
  <w15:chartTrackingRefBased/>
  <w15:docId w15:val="{23F09976-3D13-4546-96FF-E3F50073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7993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Trubiani</dc:creator>
  <cp:keywords/>
  <dc:description/>
  <cp:lastModifiedBy>Utente Windows</cp:lastModifiedBy>
  <cp:revision>2</cp:revision>
  <dcterms:created xsi:type="dcterms:W3CDTF">2023-02-03T13:59:00Z</dcterms:created>
  <dcterms:modified xsi:type="dcterms:W3CDTF">2023-02-03T13:59:00Z</dcterms:modified>
</cp:coreProperties>
</file>