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28DDC" w14:textId="3AE438C4" w:rsidR="000E7345" w:rsidRPr="000E7345" w:rsidRDefault="000E7345" w:rsidP="000E7345">
      <w:pPr>
        <w:spacing w:after="0" w:line="240" w:lineRule="auto"/>
        <w:jc w:val="both"/>
        <w:rPr>
          <w:rFonts w:ascii="Times New Roman" w:hAnsi="Times New Roman" w:cs="Times New Roman"/>
          <w:b/>
          <w:bCs/>
          <w:sz w:val="28"/>
          <w:szCs w:val="28"/>
        </w:rPr>
      </w:pPr>
      <w:r w:rsidRPr="000E7345">
        <w:rPr>
          <w:rFonts w:ascii="Times New Roman" w:hAnsi="Times New Roman" w:cs="Times New Roman"/>
          <w:b/>
          <w:bCs/>
          <w:sz w:val="28"/>
          <w:szCs w:val="28"/>
        </w:rPr>
        <w:t>Breve soluzione ragionata de</w:t>
      </w:r>
      <w:r w:rsidR="00C92905">
        <w:rPr>
          <w:rFonts w:ascii="Times New Roman" w:hAnsi="Times New Roman" w:cs="Times New Roman"/>
          <w:b/>
          <w:bCs/>
          <w:sz w:val="28"/>
          <w:szCs w:val="28"/>
        </w:rPr>
        <w:t>i</w:t>
      </w:r>
      <w:bookmarkStart w:id="0" w:name="_GoBack"/>
      <w:bookmarkEnd w:id="0"/>
      <w:r w:rsidRPr="000E7345">
        <w:rPr>
          <w:rFonts w:ascii="Times New Roman" w:hAnsi="Times New Roman" w:cs="Times New Roman"/>
          <w:b/>
          <w:bCs/>
          <w:sz w:val="28"/>
          <w:szCs w:val="28"/>
        </w:rPr>
        <w:t xml:space="preserve"> Quiz n. 1</w:t>
      </w:r>
      <w:r w:rsidR="00C92905">
        <w:rPr>
          <w:rFonts w:ascii="Times New Roman" w:hAnsi="Times New Roman" w:cs="Times New Roman"/>
          <w:b/>
          <w:bCs/>
          <w:sz w:val="28"/>
          <w:szCs w:val="28"/>
        </w:rPr>
        <w:t>-2</w:t>
      </w:r>
      <w:r w:rsidRPr="000E7345">
        <w:rPr>
          <w:rFonts w:ascii="Times New Roman" w:hAnsi="Times New Roman" w:cs="Times New Roman"/>
          <w:b/>
          <w:bCs/>
          <w:sz w:val="28"/>
          <w:szCs w:val="28"/>
        </w:rPr>
        <w:t xml:space="preserve"> con indicazione dei riferimenti bibliografici</w:t>
      </w:r>
    </w:p>
    <w:p w14:paraId="109ABBCD" w14:textId="1B236930" w:rsidR="000E7345" w:rsidRPr="000E7345" w:rsidRDefault="000E7345" w:rsidP="000E7345">
      <w:pPr>
        <w:spacing w:after="0" w:line="240" w:lineRule="auto"/>
        <w:jc w:val="both"/>
        <w:rPr>
          <w:rFonts w:ascii="Times New Roman" w:hAnsi="Times New Roman" w:cs="Times New Roman"/>
          <w:b/>
          <w:bCs/>
          <w:sz w:val="28"/>
          <w:szCs w:val="28"/>
        </w:rPr>
      </w:pPr>
    </w:p>
    <w:p w14:paraId="38871561" w14:textId="77777777" w:rsidR="000E7345" w:rsidRDefault="000E7345" w:rsidP="000E7345">
      <w:pPr>
        <w:spacing w:after="0" w:line="240" w:lineRule="auto"/>
        <w:rPr>
          <w:rFonts w:ascii="Times New Roman" w:hAnsi="Times New Roman" w:cs="Times New Roman"/>
          <w:sz w:val="28"/>
          <w:szCs w:val="28"/>
        </w:rPr>
      </w:pPr>
    </w:p>
    <w:p w14:paraId="457C47A3" w14:textId="7F78FBEA" w:rsidR="000E7345" w:rsidRPr="000E7345" w:rsidRDefault="000E7345" w:rsidP="000E7345">
      <w:pPr>
        <w:pStyle w:val="Paragrafoelenco"/>
        <w:numPr>
          <w:ilvl w:val="0"/>
          <w:numId w:val="12"/>
        </w:numPr>
        <w:spacing w:after="0" w:line="240" w:lineRule="auto"/>
        <w:rPr>
          <w:rFonts w:ascii="Times New Roman" w:hAnsi="Times New Roman" w:cs="Times New Roman"/>
          <w:sz w:val="28"/>
          <w:szCs w:val="28"/>
        </w:rPr>
      </w:pPr>
      <w:r w:rsidRPr="000E7345">
        <w:rPr>
          <w:rFonts w:ascii="Times New Roman" w:hAnsi="Times New Roman" w:cs="Times New Roman"/>
          <w:sz w:val="28"/>
          <w:szCs w:val="28"/>
        </w:rPr>
        <w:t>L’incapace naturale è:</w:t>
      </w:r>
    </w:p>
    <w:p w14:paraId="4BD50EFB" w14:textId="77777777" w:rsidR="000E7345" w:rsidRPr="007E5E05" w:rsidRDefault="000E7345" w:rsidP="000E7345">
      <w:pPr>
        <w:pStyle w:val="Paragrafoelenco"/>
        <w:numPr>
          <w:ilvl w:val="0"/>
          <w:numId w:val="2"/>
        </w:numPr>
        <w:spacing w:after="0" w:line="240" w:lineRule="auto"/>
        <w:rPr>
          <w:rFonts w:ascii="Times New Roman" w:hAnsi="Times New Roman" w:cs="Times New Roman"/>
          <w:sz w:val="28"/>
          <w:szCs w:val="28"/>
          <w:highlight w:val="yellow"/>
        </w:rPr>
      </w:pPr>
      <w:r w:rsidRPr="007E5E05">
        <w:rPr>
          <w:rFonts w:ascii="Times New Roman" w:hAnsi="Times New Roman" w:cs="Times New Roman"/>
          <w:sz w:val="28"/>
          <w:szCs w:val="28"/>
          <w:highlight w:val="yellow"/>
        </w:rPr>
        <w:t>un soggetto che si trova in uno stato temporaneo di incapacità di intendere e di volere per assunzione di droghe o perché in stato di ubriachezza</w:t>
      </w:r>
    </w:p>
    <w:p w14:paraId="47AC9A0F" w14:textId="77777777" w:rsidR="000E7345" w:rsidRPr="00F96D7A" w:rsidRDefault="000E7345" w:rsidP="000E7345">
      <w:pPr>
        <w:pStyle w:val="Paragrafoelenco"/>
        <w:numPr>
          <w:ilvl w:val="0"/>
          <w:numId w:val="2"/>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condannato ad una pena detentiva con reclusione superiore a 5 anni</w:t>
      </w:r>
    </w:p>
    <w:p w14:paraId="439F1A59" w14:textId="77777777" w:rsidR="000E7345" w:rsidRPr="00F96D7A" w:rsidRDefault="000E7345" w:rsidP="000E7345">
      <w:pPr>
        <w:pStyle w:val="Paragrafoelenco"/>
        <w:numPr>
          <w:ilvl w:val="0"/>
          <w:numId w:val="2"/>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condannato ad una pena detentiva con reclusione inferiore a 5 anni</w:t>
      </w:r>
    </w:p>
    <w:p w14:paraId="49C2AD8F" w14:textId="77777777" w:rsidR="000E7345" w:rsidRDefault="000E7345" w:rsidP="000E7345">
      <w:pPr>
        <w:pStyle w:val="Paragrafoelenco"/>
        <w:numPr>
          <w:ilvl w:val="0"/>
          <w:numId w:val="2"/>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il minore di età</w:t>
      </w:r>
    </w:p>
    <w:p w14:paraId="4C893000" w14:textId="77777777" w:rsidR="000E7345" w:rsidRDefault="000E7345" w:rsidP="000E7345">
      <w:pPr>
        <w:spacing w:after="0" w:line="240" w:lineRule="auto"/>
        <w:rPr>
          <w:rFonts w:ascii="Times New Roman" w:hAnsi="Times New Roman" w:cs="Times New Roman"/>
          <w:sz w:val="28"/>
          <w:szCs w:val="28"/>
        </w:rPr>
      </w:pPr>
    </w:p>
    <w:p w14:paraId="46033CCD" w14:textId="77777777" w:rsidR="000E7345" w:rsidRPr="0078237F" w:rsidRDefault="000E7345" w:rsidP="000E7345">
      <w:pPr>
        <w:spacing w:after="0" w:line="240" w:lineRule="auto"/>
        <w:jc w:val="both"/>
        <w:rPr>
          <w:rFonts w:ascii="Times New Roman" w:hAnsi="Times New Roman" w:cs="Times New Roman"/>
          <w:color w:val="2E74B5" w:themeColor="accent5" w:themeShade="BF"/>
        </w:rPr>
      </w:pPr>
      <w:r w:rsidRPr="0078237F">
        <w:rPr>
          <w:rFonts w:ascii="Times New Roman" w:hAnsi="Times New Roman" w:cs="Times New Roman"/>
          <w:b/>
          <w:bCs/>
          <w:color w:val="2E74B5" w:themeColor="accent5" w:themeShade="BF"/>
        </w:rPr>
        <w:t xml:space="preserve">SOLUZIONE: </w:t>
      </w:r>
      <w:r w:rsidRPr="0078237F">
        <w:rPr>
          <w:rFonts w:ascii="Times New Roman" w:hAnsi="Times New Roman" w:cs="Times New Roman"/>
          <w:color w:val="2E74B5" w:themeColor="accent5" w:themeShade="BF"/>
        </w:rPr>
        <w:t xml:space="preserve">per l’ordinamento giuridico è rilevante tanto la capacità di intendere (intesa come la capacità di comprendere il significato delle proprie azioni) quanto la capacità di volere (intesa come l’attitudine ad autodeterminarsi) poiché entrambe incidono sulla validità degli atti negoziali compiuti da un soggetto. Tale incidenza è differente a seconda che si tratti di atti unilaterali ovvero di contratti: non a caso l’art. 428 cod. civ. dispone l’annullamento di tali atti posti in essere da soggetti che – indipendentemente dall’accertamento giudiziale e anche in relazione a cause transitorie – siano privi di tale capacità di intendere e di volere. Per gli atti unilaterali, la norma richiede altresì che essi arrechino un grave pregiudizio all’incapace; per i contratti, invece, è richiesta la mala fede dell’altro contraente. Solo per il matrimonio (art. 120 cod. civ.) e per la donazione (art. 775 cod. civ.) si richiede la sola incapacità di intendere </w:t>
      </w:r>
      <w:r w:rsidRPr="0078237F">
        <w:rPr>
          <w:rFonts w:ascii="Times New Roman" w:hAnsi="Times New Roman" w:cs="Times New Roman"/>
          <w:i/>
          <w:iCs/>
          <w:color w:val="2E74B5" w:themeColor="accent5" w:themeShade="BF"/>
        </w:rPr>
        <w:t>o</w:t>
      </w:r>
      <w:r w:rsidRPr="0078237F">
        <w:rPr>
          <w:rFonts w:ascii="Times New Roman" w:hAnsi="Times New Roman" w:cs="Times New Roman"/>
          <w:color w:val="2E74B5" w:themeColor="accent5" w:themeShade="BF"/>
        </w:rPr>
        <w:t xml:space="preserve"> di volere, mentre per il testamento si richiede la prova della (sola) capacità di intendere </w:t>
      </w:r>
      <w:r w:rsidRPr="0078237F">
        <w:rPr>
          <w:rFonts w:ascii="Times New Roman" w:hAnsi="Times New Roman" w:cs="Times New Roman"/>
          <w:i/>
          <w:iCs/>
          <w:color w:val="2E74B5" w:themeColor="accent5" w:themeShade="BF"/>
        </w:rPr>
        <w:t xml:space="preserve">e </w:t>
      </w:r>
      <w:r w:rsidRPr="0078237F">
        <w:rPr>
          <w:rFonts w:ascii="Times New Roman" w:hAnsi="Times New Roman" w:cs="Times New Roman"/>
          <w:color w:val="2E74B5" w:themeColor="accent5" w:themeShade="BF"/>
        </w:rPr>
        <w:t>di volere.</w:t>
      </w:r>
    </w:p>
    <w:p w14:paraId="05406549" w14:textId="77777777" w:rsidR="000E7345" w:rsidRDefault="000E7345" w:rsidP="000E7345">
      <w:pPr>
        <w:spacing w:after="0" w:line="240" w:lineRule="auto"/>
        <w:rPr>
          <w:rFonts w:ascii="Times New Roman" w:hAnsi="Times New Roman" w:cs="Times New Roman"/>
          <w:sz w:val="28"/>
          <w:szCs w:val="28"/>
        </w:rPr>
      </w:pPr>
    </w:p>
    <w:p w14:paraId="127A48B6"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78442184"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Cap. III, sez. 8, parr. 7-8</w:t>
      </w:r>
    </w:p>
    <w:p w14:paraId="68C6B60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IV, lett. B), par. 16</w:t>
      </w:r>
    </w:p>
    <w:p w14:paraId="2A41BB6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VII, lett. A), par. 53</w:t>
      </w:r>
    </w:p>
    <w:p w14:paraId="36BF333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 III, Sez. II, par. 106</w:t>
      </w:r>
    </w:p>
    <w:p w14:paraId="601D765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 Parte Seconda, lett. A, par. 11</w:t>
      </w:r>
    </w:p>
    <w:p w14:paraId="6550BC05"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Sezione Seconda, Cap. VI, par. 30</w:t>
      </w:r>
    </w:p>
    <w:p w14:paraId="6549E74D" w14:textId="77777777" w:rsidR="000E7345" w:rsidRPr="007E5E05" w:rsidRDefault="000E7345" w:rsidP="000E7345">
      <w:pPr>
        <w:spacing w:after="0" w:line="240" w:lineRule="auto"/>
        <w:rPr>
          <w:rFonts w:ascii="Times New Roman" w:hAnsi="Times New Roman" w:cs="Times New Roman"/>
          <w:sz w:val="28"/>
          <w:szCs w:val="28"/>
        </w:rPr>
      </w:pPr>
    </w:p>
    <w:p w14:paraId="5F3B6CDB" w14:textId="77777777" w:rsidR="000E7345" w:rsidRPr="00F96D7A" w:rsidRDefault="000E7345" w:rsidP="000E7345">
      <w:pPr>
        <w:pStyle w:val="Paragrafoelenco"/>
        <w:numPr>
          <w:ilvl w:val="0"/>
          <w:numId w:val="1"/>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L’interdetto giudiziale è:</w:t>
      </w:r>
    </w:p>
    <w:p w14:paraId="05CBFF61" w14:textId="77777777" w:rsidR="000E7345" w:rsidRPr="00F96D7A" w:rsidRDefault="000E7345" w:rsidP="000E7345">
      <w:pPr>
        <w:pStyle w:val="Paragrafoelenco"/>
        <w:numPr>
          <w:ilvl w:val="0"/>
          <w:numId w:val="3"/>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totalmente privo della capacità giuridica</w:t>
      </w:r>
    </w:p>
    <w:p w14:paraId="7E10DC57" w14:textId="77777777" w:rsidR="000E7345" w:rsidRPr="00F96D7A" w:rsidRDefault="000E7345" w:rsidP="000E7345">
      <w:pPr>
        <w:pStyle w:val="Paragrafoelenco"/>
        <w:numPr>
          <w:ilvl w:val="0"/>
          <w:numId w:val="3"/>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condannato ad una pena detentiva con reclusione superiore a 5 anni</w:t>
      </w:r>
    </w:p>
    <w:p w14:paraId="67E1E6F8" w14:textId="77777777" w:rsidR="000E7345" w:rsidRPr="00F96D7A" w:rsidRDefault="000E7345" w:rsidP="000E7345">
      <w:pPr>
        <w:pStyle w:val="Paragrafoelenco"/>
        <w:numPr>
          <w:ilvl w:val="0"/>
          <w:numId w:val="3"/>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soggetto incapace di intendere o di volere</w:t>
      </w:r>
    </w:p>
    <w:p w14:paraId="6066B18D" w14:textId="77777777" w:rsidR="000E7345" w:rsidRPr="007E5E05" w:rsidRDefault="000E7345" w:rsidP="000E7345">
      <w:pPr>
        <w:pStyle w:val="Paragrafoelenco"/>
        <w:numPr>
          <w:ilvl w:val="0"/>
          <w:numId w:val="3"/>
        </w:numPr>
        <w:spacing w:after="0" w:line="240" w:lineRule="auto"/>
        <w:rPr>
          <w:rFonts w:ascii="Times New Roman" w:hAnsi="Times New Roman" w:cs="Times New Roman"/>
          <w:sz w:val="28"/>
          <w:szCs w:val="28"/>
          <w:highlight w:val="yellow"/>
        </w:rPr>
      </w:pPr>
      <w:r w:rsidRPr="007E5E05">
        <w:rPr>
          <w:rFonts w:ascii="Times New Roman" w:hAnsi="Times New Roman" w:cs="Times New Roman"/>
          <w:sz w:val="28"/>
          <w:szCs w:val="28"/>
          <w:highlight w:val="yellow"/>
        </w:rPr>
        <w:t>Un soggetto affetto da abituale infermità di mente che lo rende totalmente incapace di provvedere ai propri interessi</w:t>
      </w:r>
      <w:r>
        <w:rPr>
          <w:rFonts w:ascii="Times New Roman" w:hAnsi="Times New Roman" w:cs="Times New Roman"/>
          <w:sz w:val="28"/>
          <w:szCs w:val="28"/>
          <w:highlight w:val="yellow"/>
        </w:rPr>
        <w:t>, quando ciò è necessario per assicurare la sua adeguata protezione</w:t>
      </w:r>
    </w:p>
    <w:p w14:paraId="5EB658EB" w14:textId="77777777" w:rsidR="000E7345" w:rsidRDefault="000E7345" w:rsidP="000E7345">
      <w:pPr>
        <w:rPr>
          <w:rFonts w:ascii="Times New Roman" w:hAnsi="Times New Roman" w:cs="Times New Roman"/>
          <w:b/>
          <w:sz w:val="28"/>
          <w:szCs w:val="28"/>
        </w:rPr>
      </w:pPr>
    </w:p>
    <w:p w14:paraId="147E2264" w14:textId="77777777" w:rsidR="000E7345" w:rsidRDefault="000E7345" w:rsidP="000E7345">
      <w:pPr>
        <w:jc w:val="both"/>
        <w:rPr>
          <w:rFonts w:ascii="Times New Roman" w:hAnsi="Times New Roman" w:cs="Times New Roman"/>
          <w:bCs/>
          <w:color w:val="2E74B5" w:themeColor="accent5" w:themeShade="BF"/>
        </w:rPr>
      </w:pPr>
      <w:bookmarkStart w:id="1" w:name="_Hlk74223595"/>
      <w:r w:rsidRPr="0078237F">
        <w:rPr>
          <w:rFonts w:ascii="Times New Roman" w:hAnsi="Times New Roman" w:cs="Times New Roman"/>
          <w:b/>
          <w:color w:val="2E74B5" w:themeColor="accent5" w:themeShade="BF"/>
        </w:rPr>
        <w:t>SOLUZIONE:</w:t>
      </w:r>
      <w:r w:rsidRPr="0078237F">
        <w:rPr>
          <w:rFonts w:ascii="Times New Roman" w:hAnsi="Times New Roman" w:cs="Times New Roman"/>
          <w:bCs/>
          <w:color w:val="2E74B5" w:themeColor="accent5" w:themeShade="BF"/>
        </w:rPr>
        <w:t xml:space="preserve"> L’interdizione </w:t>
      </w:r>
      <w:bookmarkEnd w:id="1"/>
      <w:r w:rsidRPr="0078237F">
        <w:rPr>
          <w:rFonts w:ascii="Times New Roman" w:hAnsi="Times New Roman" w:cs="Times New Roman"/>
          <w:bCs/>
          <w:color w:val="2E74B5" w:themeColor="accent5" w:themeShade="BF"/>
        </w:rPr>
        <w:t>è un provvedimento di natura giudiziale assunto dal tribunale in seguito di un procedimento complesso, che vede anche il coinvolgimento del PM. Mentre precedentemente il codice civile disponeva semplicemente che dovessero essere interdetti il maggiore di età e il minore emancipato “in condizioni di abituale infermità di mente”, che li rendano incapaci di provvedere ai propri interessi, attualmente l’art. 414 dispone che – al ricorrere di tali condizioni – l’interdizione debba essere pronunciata “per assicurare la loro adeguata protezione”. Nel mutato contesto normativo, tale aggiunta si giustifica affinché, prima di pronunciare l’interdizione, il giudice valuti l’eventuale conformità dell’amministrazione di sostegno, data la sua maggiore flessibilità ed agilità maggiormente idonea a rispondere alle reali esigenze del soggetto.</w:t>
      </w:r>
    </w:p>
    <w:p w14:paraId="45FA02D6"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234BA18A" w14:textId="77777777" w:rsidR="000E7345" w:rsidRDefault="000E7345" w:rsidP="000E7345">
      <w:pPr>
        <w:spacing w:after="0" w:line="240" w:lineRule="auto"/>
        <w:jc w:val="both"/>
        <w:rPr>
          <w:rFonts w:ascii="Times New Roman" w:hAnsi="Times New Roman" w:cs="Times New Roman"/>
          <w:color w:val="2E74B5" w:themeColor="accent5" w:themeShade="BF"/>
        </w:rPr>
      </w:pPr>
      <w:bookmarkStart w:id="2" w:name="_Hlk74227728"/>
      <w:r>
        <w:rPr>
          <w:rFonts w:ascii="Times New Roman" w:hAnsi="Times New Roman" w:cs="Times New Roman"/>
          <w:color w:val="2E74B5" w:themeColor="accent5" w:themeShade="BF"/>
        </w:rPr>
        <w:t>V. Roppo, Diritto Privato. Linee essenziali: Sez. III, Cap. 8, par. 10</w:t>
      </w:r>
    </w:p>
    <w:p w14:paraId="2780DDC9"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lastRenderedPageBreak/>
        <w:t>F. Bocchini-E. Quadri, Diritto privato: Parte IV, lett. B), par. 12</w:t>
      </w:r>
    </w:p>
    <w:p w14:paraId="15C939C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VII, lett. A), par. 48</w:t>
      </w:r>
    </w:p>
    <w:p w14:paraId="63B9F48F"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 III, Sez. II, par. 103</w:t>
      </w:r>
    </w:p>
    <w:p w14:paraId="6FE8026A"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w:t>
      </w:r>
      <w:r w:rsidRPr="00324CDD">
        <w:rPr>
          <w:rFonts w:ascii="Times New Roman" w:hAnsi="Times New Roman" w:cs="Times New Roman"/>
          <w:color w:val="2E74B5" w:themeColor="accent5" w:themeShade="BF"/>
        </w:rPr>
        <w:t xml:space="preserve"> </w:t>
      </w:r>
      <w:r>
        <w:rPr>
          <w:rFonts w:ascii="Times New Roman" w:hAnsi="Times New Roman" w:cs="Times New Roman"/>
          <w:color w:val="2E74B5" w:themeColor="accent5" w:themeShade="BF"/>
        </w:rPr>
        <w:t>Parte Seconda, lett. A, par. 10</w:t>
      </w:r>
    </w:p>
    <w:p w14:paraId="32B18F00"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Sezione Seconda, Cap. VI, par. 31</w:t>
      </w:r>
    </w:p>
    <w:bookmarkEnd w:id="2"/>
    <w:p w14:paraId="60C7BB74" w14:textId="77777777" w:rsidR="000E7345" w:rsidRPr="0078237F" w:rsidRDefault="000E7345" w:rsidP="000E7345">
      <w:pPr>
        <w:jc w:val="both"/>
        <w:rPr>
          <w:rFonts w:ascii="Times New Roman" w:hAnsi="Times New Roman" w:cs="Times New Roman"/>
          <w:bCs/>
          <w:color w:val="2E74B5" w:themeColor="accent5" w:themeShade="BF"/>
        </w:rPr>
      </w:pPr>
    </w:p>
    <w:p w14:paraId="696F43C7" w14:textId="77777777" w:rsidR="000E7345" w:rsidRDefault="000E7345" w:rsidP="000E7345">
      <w:pPr>
        <w:pStyle w:val="Paragrafoelenco"/>
        <w:ind w:left="1080"/>
        <w:jc w:val="left"/>
        <w:rPr>
          <w:highlight w:val="yellow"/>
        </w:rPr>
      </w:pPr>
    </w:p>
    <w:p w14:paraId="6C88260C" w14:textId="77777777" w:rsidR="000E7345" w:rsidRPr="006235DE" w:rsidRDefault="000E7345" w:rsidP="000E7345">
      <w:pPr>
        <w:pStyle w:val="Paragrafoelenco"/>
        <w:numPr>
          <w:ilvl w:val="0"/>
          <w:numId w:val="1"/>
        </w:numPr>
        <w:jc w:val="left"/>
        <w:rPr>
          <w:rFonts w:ascii="Times New Roman" w:hAnsi="Times New Roman" w:cs="Times New Roman"/>
          <w:sz w:val="28"/>
          <w:szCs w:val="28"/>
        </w:rPr>
      </w:pPr>
      <w:r w:rsidRPr="006235DE">
        <w:rPr>
          <w:rFonts w:ascii="Times New Roman" w:hAnsi="Times New Roman" w:cs="Times New Roman"/>
          <w:sz w:val="28"/>
          <w:szCs w:val="28"/>
        </w:rPr>
        <w:t>Tizio, condannato all’ergastolo, vorrebbe contrarre matrimonio con la propria compagna</w:t>
      </w:r>
    </w:p>
    <w:p w14:paraId="3E2884C2" w14:textId="77777777" w:rsidR="000E7345" w:rsidRDefault="000E7345" w:rsidP="000E7345">
      <w:pPr>
        <w:pStyle w:val="Paragrafoelenco"/>
        <w:numPr>
          <w:ilvl w:val="0"/>
          <w:numId w:val="10"/>
        </w:numPr>
        <w:jc w:val="left"/>
        <w:rPr>
          <w:rFonts w:ascii="Times New Roman" w:hAnsi="Times New Roman" w:cs="Times New Roman"/>
          <w:sz w:val="28"/>
          <w:szCs w:val="28"/>
        </w:rPr>
      </w:pPr>
      <w:r w:rsidRPr="006235DE">
        <w:rPr>
          <w:rFonts w:ascii="Times New Roman" w:hAnsi="Times New Roman" w:cs="Times New Roman"/>
          <w:sz w:val="28"/>
          <w:szCs w:val="28"/>
        </w:rPr>
        <w:t>non può farlo, poiché è un interdetto legale</w:t>
      </w:r>
    </w:p>
    <w:p w14:paraId="3379DD9F" w14:textId="77777777" w:rsidR="000E7345" w:rsidRPr="006235DE" w:rsidRDefault="000E7345" w:rsidP="000E7345">
      <w:pPr>
        <w:pStyle w:val="Paragrafoelenco"/>
        <w:numPr>
          <w:ilvl w:val="0"/>
          <w:numId w:val="10"/>
        </w:numPr>
        <w:jc w:val="left"/>
        <w:rPr>
          <w:rFonts w:ascii="Times New Roman" w:hAnsi="Times New Roman" w:cs="Times New Roman"/>
          <w:sz w:val="28"/>
          <w:szCs w:val="28"/>
        </w:rPr>
      </w:pPr>
      <w:r>
        <w:rPr>
          <w:rFonts w:ascii="Times New Roman" w:hAnsi="Times New Roman" w:cs="Times New Roman"/>
          <w:sz w:val="28"/>
          <w:szCs w:val="28"/>
        </w:rPr>
        <w:t>non può farlo, poiché è un interdetto giudiziale</w:t>
      </w:r>
    </w:p>
    <w:p w14:paraId="6537D9C0" w14:textId="77777777" w:rsidR="000E7345" w:rsidRDefault="000E7345" w:rsidP="000E7345">
      <w:pPr>
        <w:pStyle w:val="Paragrafoelenco"/>
        <w:numPr>
          <w:ilvl w:val="0"/>
          <w:numId w:val="10"/>
        </w:numPr>
        <w:jc w:val="left"/>
        <w:rPr>
          <w:rFonts w:ascii="Times New Roman" w:hAnsi="Times New Roman" w:cs="Times New Roman"/>
          <w:sz w:val="28"/>
          <w:szCs w:val="28"/>
        </w:rPr>
      </w:pPr>
      <w:r w:rsidRPr="006235DE">
        <w:rPr>
          <w:rFonts w:ascii="Times New Roman" w:hAnsi="Times New Roman" w:cs="Times New Roman"/>
          <w:sz w:val="28"/>
          <w:szCs w:val="28"/>
        </w:rPr>
        <w:t>può sposarsi ma solo con l’autorizzazione del giudice tutelare</w:t>
      </w:r>
    </w:p>
    <w:p w14:paraId="2AA99569" w14:textId="77777777" w:rsidR="000E7345" w:rsidRPr="006235DE" w:rsidRDefault="000E7345" w:rsidP="000E7345">
      <w:pPr>
        <w:pStyle w:val="Paragrafoelenco"/>
        <w:numPr>
          <w:ilvl w:val="0"/>
          <w:numId w:val="10"/>
        </w:numPr>
        <w:spacing w:after="0" w:line="240" w:lineRule="auto"/>
        <w:rPr>
          <w:rFonts w:ascii="Times New Roman" w:hAnsi="Times New Roman" w:cs="Times New Roman"/>
          <w:sz w:val="28"/>
          <w:szCs w:val="28"/>
        </w:rPr>
      </w:pPr>
      <w:r w:rsidRPr="006235DE">
        <w:rPr>
          <w:rFonts w:ascii="Times New Roman" w:hAnsi="Times New Roman" w:cs="Times New Roman"/>
          <w:sz w:val="28"/>
          <w:szCs w:val="28"/>
          <w:highlight w:val="yellow"/>
        </w:rPr>
        <w:t>può sposarsi liberamente</w:t>
      </w:r>
    </w:p>
    <w:p w14:paraId="46D59DE2" w14:textId="77777777" w:rsidR="000E7345" w:rsidRDefault="000E7345" w:rsidP="000E7345">
      <w:pPr>
        <w:pStyle w:val="Paragrafoelenco"/>
        <w:spacing w:after="0" w:line="240" w:lineRule="auto"/>
        <w:ind w:left="360"/>
        <w:rPr>
          <w:rFonts w:ascii="Times New Roman" w:hAnsi="Times New Roman" w:cs="Times New Roman"/>
          <w:sz w:val="28"/>
          <w:szCs w:val="28"/>
        </w:rPr>
      </w:pPr>
    </w:p>
    <w:p w14:paraId="0C16BE8C" w14:textId="77777777" w:rsidR="000E7345" w:rsidRDefault="000E7345" w:rsidP="000E7345">
      <w:pPr>
        <w:spacing w:after="0" w:line="240" w:lineRule="auto"/>
        <w:jc w:val="both"/>
        <w:rPr>
          <w:rFonts w:ascii="Times New Roman" w:hAnsi="Times New Roman" w:cs="Times New Roman"/>
          <w:bCs/>
          <w:color w:val="2E74B5" w:themeColor="accent5" w:themeShade="BF"/>
        </w:rPr>
      </w:pPr>
      <w:r w:rsidRPr="006235DE">
        <w:rPr>
          <w:rFonts w:ascii="Times New Roman" w:hAnsi="Times New Roman" w:cs="Times New Roman"/>
          <w:b/>
          <w:color w:val="2E74B5" w:themeColor="accent5" w:themeShade="BF"/>
        </w:rPr>
        <w:t>SOLUZIONE:</w:t>
      </w:r>
      <w:r w:rsidRPr="006235DE">
        <w:rPr>
          <w:rFonts w:ascii="Times New Roman" w:hAnsi="Times New Roman" w:cs="Times New Roman"/>
          <w:bCs/>
          <w:color w:val="2E74B5" w:themeColor="accent5" w:themeShade="BF"/>
        </w:rPr>
        <w:t xml:space="preserve"> L’interdizione</w:t>
      </w:r>
      <w:r>
        <w:rPr>
          <w:rFonts w:ascii="Times New Roman" w:hAnsi="Times New Roman" w:cs="Times New Roman"/>
          <w:bCs/>
          <w:color w:val="2E74B5" w:themeColor="accent5" w:themeShade="BF"/>
        </w:rPr>
        <w:t xml:space="preserve"> legale, al contrario di quella giudiziale, è una pena accessoria prevista dalla legge penale, la quale priva della capacità d’agire il soggetto che abbia riportato una condanna all’ergastolo ovvero alla reclusione non inferiore a cinque anni (art. 32 cod. pen.). Non essendo, dunque, un istituto volto a preservare soggetti che non siano in grado di provvedere autonomamente ai propri interessi, le conseguenze relative alla perdita della capacità di agire sono le stesse dell’interdizione giudiziale solo per gli aspetti relativi all’amministrazione del patrimonio e al compimento degli atti di natura patrimoniale, ma non anche a quelli di natura personale, quali il matrimonio ed il testamento, il riconoscimento di un figlio naturale.</w:t>
      </w:r>
    </w:p>
    <w:p w14:paraId="5F98B35C" w14:textId="77777777" w:rsidR="000E7345" w:rsidRDefault="000E7345" w:rsidP="000E7345">
      <w:pPr>
        <w:spacing w:after="0" w:line="240" w:lineRule="auto"/>
        <w:jc w:val="both"/>
        <w:rPr>
          <w:rFonts w:ascii="Times New Roman" w:hAnsi="Times New Roman" w:cs="Times New Roman"/>
          <w:b/>
          <w:bCs/>
          <w:color w:val="2E74B5" w:themeColor="accent5" w:themeShade="BF"/>
        </w:rPr>
      </w:pPr>
    </w:p>
    <w:p w14:paraId="0025BA99"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427441D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III, Cap. 8, par. 12</w:t>
      </w:r>
    </w:p>
    <w:p w14:paraId="010DDEA6"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IV, lett. B), par. 15</w:t>
      </w:r>
    </w:p>
    <w:p w14:paraId="0C23418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VII, lett. A), par. 49</w:t>
      </w:r>
    </w:p>
    <w:p w14:paraId="3F94920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 III, Sez. II, par. 107</w:t>
      </w:r>
    </w:p>
    <w:p w14:paraId="41B2392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w:t>
      </w:r>
      <w:r w:rsidRPr="00324CDD">
        <w:rPr>
          <w:rFonts w:ascii="Times New Roman" w:hAnsi="Times New Roman" w:cs="Times New Roman"/>
          <w:color w:val="2E74B5" w:themeColor="accent5" w:themeShade="BF"/>
        </w:rPr>
        <w:t xml:space="preserve"> </w:t>
      </w:r>
      <w:r>
        <w:rPr>
          <w:rFonts w:ascii="Times New Roman" w:hAnsi="Times New Roman" w:cs="Times New Roman"/>
          <w:color w:val="2E74B5" w:themeColor="accent5" w:themeShade="BF"/>
        </w:rPr>
        <w:t>Parte Seconda, lett. A, par. 7</w:t>
      </w:r>
    </w:p>
    <w:p w14:paraId="6D471D80"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Sezione Seconda, Cap. VI, par. 31</w:t>
      </w:r>
    </w:p>
    <w:p w14:paraId="5C43A844" w14:textId="77777777" w:rsidR="000E7345" w:rsidRDefault="000E7345" w:rsidP="000E7345">
      <w:pPr>
        <w:spacing w:after="0" w:line="240" w:lineRule="auto"/>
        <w:jc w:val="both"/>
        <w:rPr>
          <w:rFonts w:ascii="Times New Roman" w:hAnsi="Times New Roman" w:cs="Times New Roman"/>
          <w:bCs/>
          <w:color w:val="2E74B5" w:themeColor="accent5" w:themeShade="BF"/>
        </w:rPr>
      </w:pPr>
    </w:p>
    <w:p w14:paraId="2A9B20C8" w14:textId="77777777" w:rsidR="000E7345" w:rsidRDefault="000E7345" w:rsidP="000E7345">
      <w:pPr>
        <w:spacing w:after="0" w:line="240" w:lineRule="auto"/>
        <w:jc w:val="both"/>
        <w:rPr>
          <w:rFonts w:ascii="Times New Roman" w:hAnsi="Times New Roman" w:cs="Times New Roman"/>
          <w:bCs/>
          <w:color w:val="2E74B5" w:themeColor="accent5" w:themeShade="BF"/>
        </w:rPr>
      </w:pPr>
    </w:p>
    <w:p w14:paraId="1C455799" w14:textId="77777777" w:rsidR="000E7345" w:rsidRPr="006235DE" w:rsidRDefault="000E7345" w:rsidP="000E7345">
      <w:pPr>
        <w:spacing w:after="0" w:line="240" w:lineRule="auto"/>
        <w:rPr>
          <w:rFonts w:ascii="Times New Roman" w:hAnsi="Times New Roman" w:cs="Times New Roman"/>
          <w:sz w:val="28"/>
          <w:szCs w:val="28"/>
        </w:rPr>
      </w:pPr>
    </w:p>
    <w:p w14:paraId="2B3E523D" w14:textId="77777777" w:rsidR="000E7345" w:rsidRPr="00F96D7A" w:rsidRDefault="000E7345" w:rsidP="000E7345">
      <w:pPr>
        <w:pStyle w:val="Paragrafoelenco"/>
        <w:numPr>
          <w:ilvl w:val="0"/>
          <w:numId w:val="1"/>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L’usufrutto:</w:t>
      </w:r>
    </w:p>
    <w:p w14:paraId="10E5B6D8" w14:textId="77777777" w:rsidR="000E7345" w:rsidRPr="00F96D7A" w:rsidRDefault="000E7345" w:rsidP="000E7345">
      <w:pPr>
        <w:pStyle w:val="Paragrafoelenco"/>
        <w:numPr>
          <w:ilvl w:val="0"/>
          <w:numId w:val="4"/>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È un diritto reale di garanzia che consiste nel godere di un bene percependo i frutti civili e naturali</w:t>
      </w:r>
    </w:p>
    <w:p w14:paraId="57A43749" w14:textId="77777777" w:rsidR="000E7345" w:rsidRPr="007E5E05" w:rsidRDefault="000E7345" w:rsidP="000E7345">
      <w:pPr>
        <w:pStyle w:val="Paragrafoelenco"/>
        <w:numPr>
          <w:ilvl w:val="0"/>
          <w:numId w:val="4"/>
        </w:numPr>
        <w:spacing w:after="0" w:line="240" w:lineRule="auto"/>
        <w:rPr>
          <w:rFonts w:ascii="Times New Roman" w:hAnsi="Times New Roman" w:cs="Times New Roman"/>
          <w:sz w:val="28"/>
          <w:szCs w:val="28"/>
          <w:highlight w:val="yellow"/>
        </w:rPr>
      </w:pPr>
      <w:r w:rsidRPr="007E5E05">
        <w:rPr>
          <w:rFonts w:ascii="Times New Roman" w:hAnsi="Times New Roman" w:cs="Times New Roman"/>
          <w:sz w:val="28"/>
          <w:szCs w:val="28"/>
          <w:highlight w:val="yellow"/>
        </w:rPr>
        <w:t>È un diritto reale di godimento su un bene altrui che consiste nel godere di un bene e nel percepire i relativi frutti civili e naturali</w:t>
      </w:r>
    </w:p>
    <w:p w14:paraId="51E9DBE9" w14:textId="77777777" w:rsidR="000E7345" w:rsidRPr="00F96D7A" w:rsidRDefault="000E7345" w:rsidP="000E7345">
      <w:pPr>
        <w:pStyle w:val="Paragrafoelenco"/>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È</w:t>
      </w:r>
      <w:r w:rsidRPr="00F96D7A">
        <w:rPr>
          <w:rFonts w:ascii="Times New Roman" w:hAnsi="Times New Roman" w:cs="Times New Roman"/>
          <w:sz w:val="28"/>
          <w:szCs w:val="28"/>
        </w:rPr>
        <w:t xml:space="preserve"> un peso giuridico imposto alla piena proprietà di un bene immobile</w:t>
      </w:r>
    </w:p>
    <w:p w14:paraId="13A6652B" w14:textId="77777777" w:rsidR="000E7345" w:rsidRPr="00F96D7A" w:rsidRDefault="000E7345" w:rsidP="000E7345">
      <w:pPr>
        <w:pStyle w:val="Paragrafoelenco"/>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È</w:t>
      </w:r>
      <w:r w:rsidRPr="00F96D7A">
        <w:rPr>
          <w:rFonts w:ascii="Times New Roman" w:hAnsi="Times New Roman" w:cs="Times New Roman"/>
          <w:sz w:val="28"/>
          <w:szCs w:val="28"/>
        </w:rPr>
        <w:t xml:space="preserve"> un diritto di un terzo su un bene altrui</w:t>
      </w:r>
    </w:p>
    <w:p w14:paraId="7183EF32" w14:textId="77777777" w:rsidR="000E7345" w:rsidRDefault="000E7345" w:rsidP="000E7345">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14:paraId="6D7C436D" w14:textId="77777777" w:rsidR="000E7345" w:rsidRPr="0078237F" w:rsidRDefault="000E7345" w:rsidP="000E7345">
      <w:pPr>
        <w:spacing w:after="0" w:line="240" w:lineRule="auto"/>
        <w:jc w:val="both"/>
        <w:rPr>
          <w:rFonts w:ascii="Times New Roman" w:hAnsi="Times New Roman" w:cs="Times New Roman"/>
          <w:bCs/>
          <w:color w:val="2E74B5" w:themeColor="accent5" w:themeShade="BF"/>
        </w:rPr>
      </w:pPr>
      <w:r w:rsidRPr="0078237F">
        <w:rPr>
          <w:rFonts w:ascii="Times New Roman" w:hAnsi="Times New Roman" w:cs="Times New Roman"/>
          <w:b/>
          <w:color w:val="2E74B5" w:themeColor="accent5" w:themeShade="BF"/>
        </w:rPr>
        <w:t>SOLUZIONE</w:t>
      </w:r>
      <w:r w:rsidRPr="0078237F">
        <w:rPr>
          <w:rFonts w:ascii="Times New Roman" w:hAnsi="Times New Roman" w:cs="Times New Roman"/>
          <w:bCs/>
          <w:color w:val="2E74B5" w:themeColor="accent5" w:themeShade="BF"/>
        </w:rPr>
        <w:t xml:space="preserve">: a norma dell’art. 981 cod. civ., l’usufrutto consiste nel diritto di godere della cosa altrui con l’obbligo di rispettarne la destinazione economica. In tale definizione vi sono tutti i caratteri del diritto reale su cosa altrui: a) è un diritto </w:t>
      </w:r>
      <w:r w:rsidRPr="0078237F">
        <w:rPr>
          <w:rFonts w:ascii="Times New Roman" w:hAnsi="Times New Roman" w:cs="Times New Roman"/>
          <w:bCs/>
          <w:i/>
          <w:iCs/>
          <w:color w:val="2E74B5" w:themeColor="accent5" w:themeShade="BF"/>
        </w:rPr>
        <w:t>assoluto</w:t>
      </w:r>
      <w:r w:rsidRPr="0078237F">
        <w:rPr>
          <w:rFonts w:ascii="Times New Roman" w:hAnsi="Times New Roman" w:cs="Times New Roman"/>
          <w:bCs/>
          <w:color w:val="2E74B5" w:themeColor="accent5" w:themeShade="BF"/>
        </w:rPr>
        <w:t xml:space="preserve"> poiché attribuisce al titolare un potere diretto sulla cosa; b) tale potere sulla cosa è </w:t>
      </w:r>
      <w:r w:rsidRPr="0078237F">
        <w:rPr>
          <w:rFonts w:ascii="Times New Roman" w:hAnsi="Times New Roman" w:cs="Times New Roman"/>
          <w:bCs/>
          <w:i/>
          <w:iCs/>
          <w:color w:val="2E74B5" w:themeColor="accent5" w:themeShade="BF"/>
        </w:rPr>
        <w:t>immediato</w:t>
      </w:r>
      <w:r w:rsidRPr="0078237F">
        <w:rPr>
          <w:rFonts w:ascii="Times New Roman" w:hAnsi="Times New Roman" w:cs="Times New Roman"/>
          <w:bCs/>
          <w:color w:val="2E74B5" w:themeColor="accent5" w:themeShade="BF"/>
        </w:rPr>
        <w:t xml:space="preserve"> poiché può essere esercitato senza l’ausilio di terzi, nemmeno del proprietario; b) questo potere </w:t>
      </w:r>
      <w:r w:rsidRPr="0078237F">
        <w:rPr>
          <w:rFonts w:ascii="Times New Roman" w:hAnsi="Times New Roman" w:cs="Times New Roman"/>
          <w:bCs/>
          <w:i/>
          <w:iCs/>
          <w:color w:val="2E74B5" w:themeColor="accent5" w:themeShade="BF"/>
        </w:rPr>
        <w:t>inerisce</w:t>
      </w:r>
      <w:r w:rsidRPr="0078237F">
        <w:rPr>
          <w:rFonts w:ascii="Times New Roman" w:hAnsi="Times New Roman" w:cs="Times New Roman"/>
          <w:bCs/>
          <w:color w:val="2E74B5" w:themeColor="accent5" w:themeShade="BF"/>
        </w:rPr>
        <w:t xml:space="preserve"> alla cosa stessa, al punto tale che esso può esser fatto valere nei confronti di chiunque</w:t>
      </w:r>
    </w:p>
    <w:p w14:paraId="5333ACF3" w14:textId="77777777" w:rsidR="000E7345" w:rsidRDefault="000E7345" w:rsidP="000E7345">
      <w:pPr>
        <w:spacing w:after="0" w:line="240" w:lineRule="auto"/>
        <w:rPr>
          <w:rFonts w:ascii="Times New Roman" w:hAnsi="Times New Roman" w:cs="Times New Roman"/>
          <w:bCs/>
          <w:color w:val="2E74B5" w:themeColor="accent5" w:themeShade="BF"/>
          <w:sz w:val="28"/>
          <w:szCs w:val="28"/>
        </w:rPr>
      </w:pPr>
    </w:p>
    <w:p w14:paraId="007EC5F7"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1A7D467C" w14:textId="77777777" w:rsidR="000E7345" w:rsidRDefault="000E7345" w:rsidP="000E7345">
      <w:pPr>
        <w:spacing w:after="0" w:line="240" w:lineRule="auto"/>
        <w:jc w:val="both"/>
        <w:rPr>
          <w:rFonts w:ascii="Times New Roman" w:hAnsi="Times New Roman" w:cs="Times New Roman"/>
          <w:color w:val="2E74B5" w:themeColor="accent5" w:themeShade="BF"/>
        </w:rPr>
      </w:pPr>
      <w:bookmarkStart w:id="3" w:name="_Hlk74238195"/>
      <w:r>
        <w:rPr>
          <w:rFonts w:ascii="Times New Roman" w:hAnsi="Times New Roman" w:cs="Times New Roman"/>
          <w:color w:val="2E74B5" w:themeColor="accent5" w:themeShade="BF"/>
        </w:rPr>
        <w:t>V. Roppo, Diritto Privato. Linee essenziali: Sez. IV, Cap. 14, par. 3</w:t>
      </w:r>
    </w:p>
    <w:p w14:paraId="5305CDE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 Cap. 3, par. 4</w:t>
      </w:r>
    </w:p>
    <w:p w14:paraId="20B8E781"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lastRenderedPageBreak/>
        <w:t>A. Torrente-P. Schlesinger, Manuale di diritto privato: Cap. XIV, lett. C), parr. 147-152</w:t>
      </w:r>
    </w:p>
    <w:p w14:paraId="70961414"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 Sez. VII, parr. 267-271</w:t>
      </w:r>
    </w:p>
    <w:p w14:paraId="488D49C3"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 Parte Terza, lett. B), par. 31</w:t>
      </w:r>
    </w:p>
    <w:p w14:paraId="6F539979"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Trimarchi, Istituzioni di diritto privato: Sez. Decima, Cap. LII, parr. 396-401 </w:t>
      </w:r>
    </w:p>
    <w:bookmarkEnd w:id="3"/>
    <w:p w14:paraId="7533BCC7" w14:textId="77777777" w:rsidR="000E7345" w:rsidRPr="0078237F" w:rsidRDefault="000E7345" w:rsidP="000E7345">
      <w:pPr>
        <w:spacing w:after="0" w:line="240" w:lineRule="auto"/>
        <w:rPr>
          <w:rFonts w:ascii="Times New Roman" w:hAnsi="Times New Roman" w:cs="Times New Roman"/>
          <w:bCs/>
          <w:color w:val="2E74B5" w:themeColor="accent5" w:themeShade="BF"/>
          <w:sz w:val="28"/>
          <w:szCs w:val="28"/>
        </w:rPr>
      </w:pPr>
    </w:p>
    <w:p w14:paraId="5CDE0804" w14:textId="77777777" w:rsidR="000E7345" w:rsidRPr="00DB1E82" w:rsidRDefault="000E7345" w:rsidP="000E7345">
      <w:pPr>
        <w:spacing w:after="0"/>
        <w:ind w:left="141"/>
        <w:jc w:val="both"/>
        <w:rPr>
          <w:rFonts w:ascii="Times New Roman" w:hAnsi="Times New Roman" w:cs="Times New Roman"/>
          <w:bCs/>
          <w:sz w:val="28"/>
          <w:szCs w:val="28"/>
        </w:rPr>
      </w:pPr>
      <w:r>
        <w:rPr>
          <w:rFonts w:ascii="Times New Roman" w:hAnsi="Times New Roman" w:cs="Times New Roman"/>
          <w:bCs/>
          <w:sz w:val="28"/>
          <w:szCs w:val="28"/>
        </w:rPr>
        <w:t xml:space="preserve">6.  Tizio </w:t>
      </w:r>
      <w:r w:rsidRPr="00DB1E82">
        <w:rPr>
          <w:rFonts w:ascii="Times New Roman" w:hAnsi="Times New Roman" w:cs="Times New Roman"/>
          <w:bCs/>
          <w:sz w:val="28"/>
          <w:szCs w:val="28"/>
        </w:rPr>
        <w:t>vuole attribuire</w:t>
      </w:r>
      <w:r>
        <w:rPr>
          <w:rFonts w:ascii="Times New Roman" w:hAnsi="Times New Roman" w:cs="Times New Roman"/>
          <w:bCs/>
          <w:sz w:val="28"/>
          <w:szCs w:val="28"/>
        </w:rPr>
        <w:t xml:space="preserve"> ad un suo parente indigente</w:t>
      </w:r>
      <w:r w:rsidRPr="00DB1E82">
        <w:rPr>
          <w:rFonts w:ascii="Times New Roman" w:hAnsi="Times New Roman" w:cs="Times New Roman"/>
          <w:bCs/>
          <w:sz w:val="28"/>
          <w:szCs w:val="28"/>
        </w:rPr>
        <w:t xml:space="preserve"> il godimento pieno ed esclusivo di un suo immobile senza trasferirgli il diritto di proprietà, assicurandosi però che alla morte di</w:t>
      </w:r>
      <w:r>
        <w:rPr>
          <w:rFonts w:ascii="Times New Roman" w:hAnsi="Times New Roman" w:cs="Times New Roman"/>
          <w:bCs/>
          <w:sz w:val="28"/>
          <w:szCs w:val="28"/>
        </w:rPr>
        <w:t xml:space="preserve"> questo parente</w:t>
      </w:r>
      <w:r w:rsidRPr="00DB1E82">
        <w:rPr>
          <w:rFonts w:ascii="Times New Roman" w:hAnsi="Times New Roman" w:cs="Times New Roman"/>
          <w:bCs/>
          <w:sz w:val="28"/>
          <w:szCs w:val="28"/>
        </w:rPr>
        <w:t xml:space="preserve"> il bene torni nella sua sfera giuridica. Come può fare?</w:t>
      </w:r>
    </w:p>
    <w:p w14:paraId="4CE666AE" w14:textId="77777777" w:rsidR="000E7345" w:rsidRPr="00DB1E82" w:rsidRDefault="000E7345" w:rsidP="000E7345">
      <w:pPr>
        <w:spacing w:after="0"/>
        <w:ind w:left="360"/>
        <w:jc w:val="both"/>
        <w:rPr>
          <w:rFonts w:ascii="Times New Roman" w:hAnsi="Times New Roman" w:cs="Times New Roman"/>
          <w:sz w:val="28"/>
          <w:szCs w:val="28"/>
        </w:rPr>
      </w:pPr>
      <w:r w:rsidRPr="00DB1E82">
        <w:rPr>
          <w:rFonts w:ascii="Times New Roman" w:hAnsi="Times New Roman" w:cs="Times New Roman"/>
          <w:sz w:val="28"/>
          <w:szCs w:val="28"/>
        </w:rPr>
        <w:t xml:space="preserve">a) </w:t>
      </w:r>
      <w:r w:rsidRPr="00DB1E82">
        <w:rPr>
          <w:rFonts w:ascii="Times New Roman" w:hAnsi="Times New Roman" w:cs="Times New Roman"/>
          <w:sz w:val="28"/>
          <w:szCs w:val="28"/>
        </w:rPr>
        <w:tab/>
        <w:t>Non può trasferirgli il diritto di usufrutto, perché l’usufrutto non può mai eccedere la durata di trent’anni</w:t>
      </w:r>
    </w:p>
    <w:p w14:paraId="3DFE0A43" w14:textId="77777777" w:rsidR="000E7345" w:rsidRPr="00DB1E82" w:rsidRDefault="000E7345" w:rsidP="000E7345">
      <w:pPr>
        <w:spacing w:after="0"/>
        <w:ind w:left="360"/>
        <w:jc w:val="both"/>
        <w:rPr>
          <w:rFonts w:ascii="Times New Roman" w:hAnsi="Times New Roman" w:cs="Times New Roman"/>
          <w:sz w:val="28"/>
          <w:szCs w:val="28"/>
        </w:rPr>
      </w:pPr>
      <w:r w:rsidRPr="00DB1E82">
        <w:rPr>
          <w:rFonts w:ascii="Times New Roman" w:hAnsi="Times New Roman" w:cs="Times New Roman"/>
          <w:sz w:val="28"/>
          <w:szCs w:val="28"/>
        </w:rPr>
        <w:t xml:space="preserve">b) </w:t>
      </w:r>
      <w:r w:rsidRPr="00DB1E82">
        <w:rPr>
          <w:rFonts w:ascii="Times New Roman" w:hAnsi="Times New Roman" w:cs="Times New Roman"/>
          <w:sz w:val="28"/>
          <w:szCs w:val="28"/>
        </w:rPr>
        <w:tab/>
        <w:t>Può trasferirgli il diritto di usufrutto, stabilendo che la durata sia oltre trent’anni poiché non sarebbe costituito a favore di una persona giuridica</w:t>
      </w:r>
    </w:p>
    <w:p w14:paraId="55DC7924" w14:textId="77777777" w:rsidR="000E7345" w:rsidRPr="00DB1E82" w:rsidRDefault="000E7345" w:rsidP="000E7345">
      <w:pPr>
        <w:spacing w:after="0"/>
        <w:ind w:left="360"/>
        <w:jc w:val="both"/>
        <w:rPr>
          <w:rFonts w:ascii="Times New Roman" w:hAnsi="Times New Roman" w:cs="Times New Roman"/>
          <w:sz w:val="28"/>
          <w:szCs w:val="28"/>
        </w:rPr>
      </w:pPr>
      <w:r w:rsidRPr="00655B89">
        <w:rPr>
          <w:rFonts w:ascii="Times New Roman" w:hAnsi="Times New Roman" w:cs="Times New Roman"/>
          <w:sz w:val="28"/>
          <w:szCs w:val="28"/>
          <w:highlight w:val="yellow"/>
        </w:rPr>
        <w:t xml:space="preserve">c) </w:t>
      </w:r>
      <w:r w:rsidRPr="00655B89">
        <w:rPr>
          <w:rFonts w:ascii="Times New Roman" w:hAnsi="Times New Roman" w:cs="Times New Roman"/>
          <w:sz w:val="28"/>
          <w:szCs w:val="28"/>
          <w:highlight w:val="yellow"/>
        </w:rPr>
        <w:tab/>
        <w:t>Può trasferirgli il diritto di usufrutto, perché la durata massima di esso non può eccedere la vita dell’usufruttuario</w:t>
      </w:r>
    </w:p>
    <w:p w14:paraId="06203AE4" w14:textId="77777777" w:rsidR="000E7345" w:rsidRPr="00DB1E82" w:rsidRDefault="000E7345" w:rsidP="000E7345">
      <w:pPr>
        <w:spacing w:after="0"/>
        <w:ind w:left="360"/>
        <w:jc w:val="both"/>
        <w:rPr>
          <w:rFonts w:ascii="Times New Roman" w:hAnsi="Times New Roman" w:cs="Times New Roman"/>
          <w:sz w:val="28"/>
          <w:szCs w:val="28"/>
        </w:rPr>
      </w:pPr>
      <w:r w:rsidRPr="00DB1E82">
        <w:rPr>
          <w:rFonts w:ascii="Times New Roman" w:hAnsi="Times New Roman" w:cs="Times New Roman"/>
          <w:sz w:val="28"/>
          <w:szCs w:val="28"/>
        </w:rPr>
        <w:t xml:space="preserve">d) </w:t>
      </w:r>
      <w:r w:rsidRPr="00DB1E82">
        <w:rPr>
          <w:rFonts w:ascii="Times New Roman" w:hAnsi="Times New Roman" w:cs="Times New Roman"/>
          <w:sz w:val="28"/>
          <w:szCs w:val="28"/>
        </w:rPr>
        <w:tab/>
        <w:t>Può trasferirgli il diritto di usufrutto, ma deve stabilire il termine perché la legge non regola una durata massima</w:t>
      </w:r>
    </w:p>
    <w:p w14:paraId="1D7FE405" w14:textId="77777777" w:rsidR="000E7345" w:rsidRDefault="000E7345" w:rsidP="000E7345">
      <w:pPr>
        <w:spacing w:after="0" w:line="240" w:lineRule="auto"/>
        <w:rPr>
          <w:rFonts w:ascii="Times New Roman" w:hAnsi="Times New Roman" w:cs="Times New Roman"/>
          <w:b/>
          <w:sz w:val="28"/>
          <w:szCs w:val="28"/>
        </w:rPr>
      </w:pPr>
    </w:p>
    <w:p w14:paraId="4E5B4737" w14:textId="77777777" w:rsidR="000E7345" w:rsidRPr="0078237F" w:rsidRDefault="000E7345" w:rsidP="000E7345">
      <w:pPr>
        <w:spacing w:after="0" w:line="240" w:lineRule="auto"/>
        <w:jc w:val="both"/>
        <w:rPr>
          <w:rFonts w:ascii="Times New Roman" w:hAnsi="Times New Roman" w:cs="Times New Roman"/>
          <w:bCs/>
          <w:color w:val="2E74B5" w:themeColor="accent5" w:themeShade="BF"/>
        </w:rPr>
      </w:pPr>
      <w:r w:rsidRPr="0078237F">
        <w:rPr>
          <w:rFonts w:ascii="Times New Roman" w:hAnsi="Times New Roman" w:cs="Times New Roman"/>
          <w:b/>
          <w:color w:val="2E74B5" w:themeColor="accent5" w:themeShade="BF"/>
        </w:rPr>
        <w:t xml:space="preserve">SOLUZIONE: </w:t>
      </w:r>
      <w:r w:rsidRPr="0078237F">
        <w:rPr>
          <w:rFonts w:ascii="Times New Roman" w:hAnsi="Times New Roman" w:cs="Times New Roman"/>
          <w:bCs/>
          <w:color w:val="2E74B5" w:themeColor="accent5" w:themeShade="BF"/>
        </w:rPr>
        <w:t xml:space="preserve">il diritto di usufrutto deve </w:t>
      </w:r>
      <w:r w:rsidRPr="0078237F">
        <w:rPr>
          <w:rFonts w:ascii="Times New Roman" w:hAnsi="Times New Roman" w:cs="Times New Roman"/>
          <w:bCs/>
          <w:i/>
          <w:iCs/>
          <w:color w:val="2E74B5" w:themeColor="accent5" w:themeShade="BF"/>
        </w:rPr>
        <w:t>necessariamente</w:t>
      </w:r>
      <w:r w:rsidRPr="0078237F">
        <w:rPr>
          <w:rFonts w:ascii="Times New Roman" w:hAnsi="Times New Roman" w:cs="Times New Roman"/>
          <w:bCs/>
          <w:color w:val="2E74B5" w:themeColor="accent5" w:themeShade="BF"/>
        </w:rPr>
        <w:t xml:space="preserve"> essere costituito a tempo, poiché altrimenti il diritto di proprietà non presenterebbe alcuna utilità, essendone separata in perpetuo la facoltà di godimento. La durata dell’usufrutto, dunque, non può eccedere la vita del titolare (pertanto se il titolo costitutivo del diritto non dispone nulla si presume che esso sia per tutta la vita dell’usufruttuario), ovvero i trent’anni se viene concesso a favore di una persona giuridica (art. 979 cod. civ.)</w:t>
      </w:r>
    </w:p>
    <w:p w14:paraId="1EC7FA0D" w14:textId="77777777" w:rsidR="000E7345" w:rsidRDefault="000E7345" w:rsidP="000E7345">
      <w:pPr>
        <w:spacing w:after="0" w:line="240" w:lineRule="auto"/>
        <w:rPr>
          <w:rFonts w:ascii="Times New Roman" w:hAnsi="Times New Roman" w:cs="Times New Roman"/>
          <w:sz w:val="28"/>
          <w:szCs w:val="28"/>
        </w:rPr>
      </w:pPr>
    </w:p>
    <w:p w14:paraId="78D07BDE"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712CE7DC"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IV, Cap. 14, par. 3</w:t>
      </w:r>
    </w:p>
    <w:p w14:paraId="62C7D8A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 Cap. 3, par. 4</w:t>
      </w:r>
    </w:p>
    <w:p w14:paraId="27CEA67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XIV, lett. C), parr. 147-152</w:t>
      </w:r>
    </w:p>
    <w:p w14:paraId="3DD5782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 Sez. VII, parr. 267-271</w:t>
      </w:r>
    </w:p>
    <w:p w14:paraId="417038B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 Parte Terza, lett. B), par. 31</w:t>
      </w:r>
    </w:p>
    <w:p w14:paraId="093D245F"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 xml:space="preserve">P. Trimarchi, Istituzioni di diritto privato: Sez. Decima, Cap. LII, parr. 396-401 </w:t>
      </w:r>
    </w:p>
    <w:p w14:paraId="09A8FA1A" w14:textId="77777777" w:rsidR="000E7345" w:rsidRPr="00F96D7A" w:rsidRDefault="000E7345" w:rsidP="000E7345">
      <w:pPr>
        <w:spacing w:after="0" w:line="240" w:lineRule="auto"/>
        <w:rPr>
          <w:rFonts w:ascii="Times New Roman" w:hAnsi="Times New Roman" w:cs="Times New Roman"/>
          <w:sz w:val="28"/>
          <w:szCs w:val="28"/>
        </w:rPr>
      </w:pPr>
    </w:p>
    <w:p w14:paraId="328F63A7" w14:textId="77777777" w:rsidR="000E7345" w:rsidRPr="00F96D7A" w:rsidRDefault="000E7345" w:rsidP="000E7345">
      <w:pPr>
        <w:pStyle w:val="Paragrafoelenco"/>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7.  </w:t>
      </w:r>
      <w:r w:rsidRPr="00F96D7A">
        <w:rPr>
          <w:rFonts w:ascii="Times New Roman" w:hAnsi="Times New Roman" w:cs="Times New Roman"/>
          <w:sz w:val="28"/>
          <w:szCs w:val="28"/>
        </w:rPr>
        <w:t>L’azione di rivendicazione:</w:t>
      </w:r>
    </w:p>
    <w:p w14:paraId="41EEDDF3" w14:textId="77777777" w:rsidR="000E7345" w:rsidRPr="00F96D7A" w:rsidRDefault="000E7345" w:rsidP="000E7345">
      <w:pPr>
        <w:pStyle w:val="Paragrafoelenco"/>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È</w:t>
      </w:r>
      <w:r w:rsidRPr="00F96D7A">
        <w:rPr>
          <w:rFonts w:ascii="Times New Roman" w:hAnsi="Times New Roman" w:cs="Times New Roman"/>
          <w:sz w:val="28"/>
          <w:szCs w:val="28"/>
        </w:rPr>
        <w:t xml:space="preserve"> un’azione a tutela della proprietà che si prescrive nel termine di 20 anni</w:t>
      </w:r>
    </w:p>
    <w:p w14:paraId="03C59CC8" w14:textId="77777777" w:rsidR="000E7345" w:rsidRPr="0078237F" w:rsidRDefault="000E7345" w:rsidP="000E7345">
      <w:pPr>
        <w:pStyle w:val="Paragrafoelenco"/>
        <w:numPr>
          <w:ilvl w:val="0"/>
          <w:numId w:val="5"/>
        </w:numPr>
        <w:spacing w:after="0" w:line="240" w:lineRule="auto"/>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È </w:t>
      </w:r>
      <w:r w:rsidRPr="0078237F">
        <w:rPr>
          <w:rFonts w:ascii="Times New Roman" w:hAnsi="Times New Roman" w:cs="Times New Roman"/>
          <w:sz w:val="28"/>
          <w:szCs w:val="28"/>
          <w:highlight w:val="yellow"/>
        </w:rPr>
        <w:t>un’azione a tutela della proprietà di natura imprescrittibile</w:t>
      </w:r>
    </w:p>
    <w:p w14:paraId="4F1C4E8A" w14:textId="77777777" w:rsidR="000E7345" w:rsidRPr="00F96D7A" w:rsidRDefault="000E7345" w:rsidP="000E7345">
      <w:pPr>
        <w:pStyle w:val="Paragrafoelenco"/>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È</w:t>
      </w:r>
      <w:r w:rsidRPr="00F96D7A">
        <w:rPr>
          <w:rFonts w:ascii="Times New Roman" w:hAnsi="Times New Roman" w:cs="Times New Roman"/>
          <w:sz w:val="28"/>
          <w:szCs w:val="28"/>
        </w:rPr>
        <w:t xml:space="preserve"> un’azione volta ad ottenere la cessazione delle turbative nel godimento di un bene da parte del legittimo proprietario</w:t>
      </w:r>
    </w:p>
    <w:p w14:paraId="0BFDF295" w14:textId="77777777" w:rsidR="000E7345" w:rsidRDefault="000E7345" w:rsidP="000E7345">
      <w:pPr>
        <w:pStyle w:val="Paragrafoelenco"/>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È </w:t>
      </w:r>
      <w:r w:rsidRPr="00F96D7A">
        <w:rPr>
          <w:rFonts w:ascii="Times New Roman" w:hAnsi="Times New Roman" w:cs="Times New Roman"/>
          <w:sz w:val="28"/>
          <w:szCs w:val="28"/>
        </w:rPr>
        <w:t>un’azione a tutela del possessore di un determinato bene</w:t>
      </w:r>
    </w:p>
    <w:p w14:paraId="284FE791" w14:textId="77777777" w:rsidR="000E7345" w:rsidRDefault="000E7345" w:rsidP="000E7345">
      <w:pPr>
        <w:pStyle w:val="Paragrafoelenco"/>
        <w:spacing w:after="0" w:line="240" w:lineRule="auto"/>
        <w:rPr>
          <w:rFonts w:ascii="Times New Roman" w:hAnsi="Times New Roman" w:cs="Times New Roman"/>
          <w:sz w:val="28"/>
          <w:szCs w:val="28"/>
        </w:rPr>
      </w:pPr>
    </w:p>
    <w:p w14:paraId="1C736A50" w14:textId="77777777" w:rsidR="000E7345" w:rsidRPr="00710EC1" w:rsidRDefault="000E7345" w:rsidP="000E7345">
      <w:pPr>
        <w:spacing w:after="0" w:line="240" w:lineRule="auto"/>
        <w:jc w:val="both"/>
        <w:rPr>
          <w:rFonts w:ascii="Times New Roman" w:hAnsi="Times New Roman" w:cs="Times New Roman"/>
          <w:bCs/>
          <w:color w:val="2E74B5" w:themeColor="accent5" w:themeShade="BF"/>
        </w:rPr>
      </w:pPr>
      <w:r w:rsidRPr="00710EC1">
        <w:rPr>
          <w:rFonts w:ascii="Times New Roman" w:hAnsi="Times New Roman" w:cs="Times New Roman"/>
          <w:b/>
          <w:color w:val="2E74B5" w:themeColor="accent5" w:themeShade="BF"/>
        </w:rPr>
        <w:t xml:space="preserve">SOLUZIONE: </w:t>
      </w:r>
      <w:r w:rsidRPr="00710EC1">
        <w:rPr>
          <w:rFonts w:ascii="Times New Roman" w:hAnsi="Times New Roman" w:cs="Times New Roman"/>
          <w:bCs/>
          <w:color w:val="2E74B5" w:themeColor="accent5" w:themeShade="BF"/>
        </w:rPr>
        <w:t xml:space="preserve">L’azione di rivendicazione è la principale e più rappresentativa delle azioni a difesa della proprietà, anche dette </w:t>
      </w:r>
      <w:r w:rsidRPr="00710EC1">
        <w:rPr>
          <w:rFonts w:ascii="Times New Roman" w:hAnsi="Times New Roman" w:cs="Times New Roman"/>
          <w:bCs/>
          <w:i/>
          <w:iCs/>
          <w:color w:val="2E74B5" w:themeColor="accent5" w:themeShade="BF"/>
        </w:rPr>
        <w:t>azioni petitorie</w:t>
      </w:r>
      <w:r w:rsidRPr="00710EC1">
        <w:rPr>
          <w:rFonts w:ascii="Times New Roman" w:hAnsi="Times New Roman" w:cs="Times New Roman"/>
          <w:bCs/>
          <w:color w:val="2E74B5" w:themeColor="accent5" w:themeShade="BF"/>
        </w:rPr>
        <w:t>. Essa, insieme all’azione negatoria, ha lo scopo di garantire i poteri del proprietario in modo pieno e senza interferenze da parte di terzi (art. 832 cod. civ.); ne condivide, dunque, gli stessi caratteri</w:t>
      </w:r>
      <w:r>
        <w:rPr>
          <w:rFonts w:ascii="Times New Roman" w:hAnsi="Times New Roman" w:cs="Times New Roman"/>
          <w:bCs/>
          <w:color w:val="2E74B5" w:themeColor="accent5" w:themeShade="BF"/>
        </w:rPr>
        <w:t>,</w:t>
      </w:r>
      <w:r w:rsidRPr="00710EC1">
        <w:rPr>
          <w:rFonts w:ascii="Times New Roman" w:hAnsi="Times New Roman" w:cs="Times New Roman"/>
          <w:bCs/>
          <w:color w:val="2E74B5" w:themeColor="accent5" w:themeShade="BF"/>
        </w:rPr>
        <w:t xml:space="preserve"> tra cui anche quello della imprescrittibilità (art. 948, comma 2, cod. civ.)</w:t>
      </w:r>
    </w:p>
    <w:p w14:paraId="12C2413A" w14:textId="77777777" w:rsidR="000E7345" w:rsidRDefault="000E7345" w:rsidP="000E7345">
      <w:pPr>
        <w:spacing w:after="0" w:line="240" w:lineRule="auto"/>
        <w:rPr>
          <w:rFonts w:ascii="Times New Roman" w:hAnsi="Times New Roman" w:cs="Times New Roman"/>
          <w:sz w:val="28"/>
          <w:szCs w:val="28"/>
        </w:rPr>
      </w:pPr>
    </w:p>
    <w:p w14:paraId="414D1075"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447D2FCC"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IV, Cap. 12, par. 14</w:t>
      </w:r>
    </w:p>
    <w:p w14:paraId="119F700A"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 Cap. 2, par. 6</w:t>
      </w:r>
    </w:p>
    <w:p w14:paraId="2C99FBB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XIII, par. 143</w:t>
      </w:r>
    </w:p>
    <w:p w14:paraId="2A59506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 Sez. IV, par. 254</w:t>
      </w:r>
    </w:p>
    <w:p w14:paraId="3F6F35FF"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 Parte Terza, lett. B), par. 37</w:t>
      </w:r>
    </w:p>
    <w:p w14:paraId="28774DA8"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lastRenderedPageBreak/>
        <w:t>P. Trimarchi, Istituzioni di diritto privato: Sez. Decima, Cap. LI, par. 395</w:t>
      </w:r>
    </w:p>
    <w:p w14:paraId="03EAED97" w14:textId="77777777" w:rsidR="000E7345" w:rsidRDefault="000E7345" w:rsidP="000E7345">
      <w:pPr>
        <w:spacing w:after="0" w:line="240" w:lineRule="auto"/>
        <w:rPr>
          <w:rFonts w:ascii="Times New Roman" w:hAnsi="Times New Roman" w:cs="Times New Roman"/>
          <w:sz w:val="28"/>
          <w:szCs w:val="28"/>
        </w:rPr>
      </w:pPr>
    </w:p>
    <w:p w14:paraId="66A97F3D" w14:textId="77777777" w:rsidR="000E7345" w:rsidRPr="00DB1E82" w:rsidRDefault="000E7345" w:rsidP="000E73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DB1E82">
        <w:rPr>
          <w:rFonts w:ascii="Times New Roman" w:hAnsi="Times New Roman" w:cs="Times New Roman"/>
          <w:sz w:val="28"/>
          <w:szCs w:val="28"/>
        </w:rPr>
        <w:t>Il possesso è:</w:t>
      </w:r>
    </w:p>
    <w:p w14:paraId="0F8328A5" w14:textId="77777777" w:rsidR="000E7345" w:rsidRPr="00F96D7A" w:rsidRDefault="000E7345" w:rsidP="000E7345">
      <w:pPr>
        <w:pStyle w:val="Paragrafoelenco"/>
        <w:numPr>
          <w:ilvl w:val="0"/>
          <w:numId w:val="6"/>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 xml:space="preserve">Un diritto costituito dal </w:t>
      </w:r>
      <w:r w:rsidRPr="00710EC1">
        <w:rPr>
          <w:rFonts w:ascii="Times New Roman" w:hAnsi="Times New Roman" w:cs="Times New Roman"/>
          <w:i/>
          <w:iCs/>
          <w:sz w:val="28"/>
          <w:szCs w:val="28"/>
        </w:rPr>
        <w:t>corpus possessionis</w:t>
      </w:r>
      <w:r w:rsidRPr="00F96D7A">
        <w:rPr>
          <w:rFonts w:ascii="Times New Roman" w:hAnsi="Times New Roman" w:cs="Times New Roman"/>
          <w:sz w:val="28"/>
          <w:szCs w:val="28"/>
        </w:rPr>
        <w:t xml:space="preserve"> e dall’</w:t>
      </w:r>
      <w:r w:rsidRPr="00710EC1">
        <w:rPr>
          <w:rFonts w:ascii="Times New Roman" w:hAnsi="Times New Roman" w:cs="Times New Roman"/>
          <w:i/>
          <w:iCs/>
          <w:sz w:val="28"/>
          <w:szCs w:val="28"/>
        </w:rPr>
        <w:t>animus possidendi</w:t>
      </w:r>
    </w:p>
    <w:p w14:paraId="35BB017B" w14:textId="77777777" w:rsidR="000E7345" w:rsidRPr="00BA1C01" w:rsidRDefault="000E7345" w:rsidP="000E7345">
      <w:pPr>
        <w:pStyle w:val="Paragrafoelenco"/>
        <w:numPr>
          <w:ilvl w:val="0"/>
          <w:numId w:val="6"/>
        </w:numPr>
        <w:spacing w:after="0" w:line="240" w:lineRule="auto"/>
        <w:rPr>
          <w:rFonts w:ascii="Times New Roman" w:hAnsi="Times New Roman" w:cs="Times New Roman"/>
          <w:sz w:val="28"/>
          <w:szCs w:val="28"/>
          <w:highlight w:val="yellow"/>
        </w:rPr>
      </w:pPr>
      <w:r w:rsidRPr="00BA1C01">
        <w:rPr>
          <w:rFonts w:ascii="Times New Roman" w:hAnsi="Times New Roman" w:cs="Times New Roman"/>
          <w:sz w:val="28"/>
          <w:szCs w:val="28"/>
          <w:highlight w:val="yellow"/>
        </w:rPr>
        <w:t>Una situazione di fatto costituita dall’apprensione materiale di un bene e dalla volontà di comportarsi come il relativo titolare</w:t>
      </w:r>
    </w:p>
    <w:p w14:paraId="6234A6B8" w14:textId="77777777" w:rsidR="000E7345" w:rsidRPr="00F96D7A" w:rsidRDefault="000E7345" w:rsidP="000E7345">
      <w:pPr>
        <w:pStyle w:val="Paragrafoelenco"/>
        <w:numPr>
          <w:ilvl w:val="0"/>
          <w:numId w:val="6"/>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Una situazione di fatto costituita dall’apprensione materiale di un bene di cui è titolare un soggetto diverso</w:t>
      </w:r>
    </w:p>
    <w:p w14:paraId="18ECD549" w14:textId="77777777" w:rsidR="000E7345" w:rsidRPr="00F96D7A" w:rsidRDefault="000E7345" w:rsidP="000E7345">
      <w:pPr>
        <w:pStyle w:val="Paragrafoelenco"/>
        <w:numPr>
          <w:ilvl w:val="0"/>
          <w:numId w:val="6"/>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Un diritto reale limitato su bene altrui</w:t>
      </w:r>
    </w:p>
    <w:p w14:paraId="50BF0F56" w14:textId="77777777" w:rsidR="000E7345" w:rsidRPr="00F96D7A" w:rsidRDefault="000E7345" w:rsidP="000E7345">
      <w:pPr>
        <w:pStyle w:val="Paragrafoelenco"/>
        <w:spacing w:after="0" w:line="240" w:lineRule="auto"/>
        <w:rPr>
          <w:rFonts w:ascii="Times New Roman" w:hAnsi="Times New Roman" w:cs="Times New Roman"/>
          <w:sz w:val="28"/>
          <w:szCs w:val="28"/>
        </w:rPr>
      </w:pPr>
    </w:p>
    <w:p w14:paraId="4CBC2A76" w14:textId="77777777" w:rsidR="000E7345" w:rsidRPr="00FD54B9" w:rsidRDefault="000E7345" w:rsidP="000E7345">
      <w:pPr>
        <w:spacing w:after="0" w:line="240" w:lineRule="auto"/>
        <w:jc w:val="both"/>
        <w:rPr>
          <w:rFonts w:ascii="Times New Roman" w:hAnsi="Times New Roman" w:cs="Times New Roman"/>
          <w:bCs/>
          <w:color w:val="2E74B5" w:themeColor="accent5" w:themeShade="BF"/>
        </w:rPr>
      </w:pPr>
      <w:r w:rsidRPr="00FD54B9">
        <w:rPr>
          <w:rFonts w:ascii="Times New Roman" w:hAnsi="Times New Roman" w:cs="Times New Roman"/>
          <w:b/>
          <w:color w:val="2E74B5" w:themeColor="accent5" w:themeShade="BF"/>
        </w:rPr>
        <w:t xml:space="preserve">SOLUZIONE: </w:t>
      </w:r>
      <w:r w:rsidRPr="00FD54B9">
        <w:rPr>
          <w:rFonts w:ascii="Times New Roman" w:hAnsi="Times New Roman" w:cs="Times New Roman"/>
          <w:bCs/>
          <w:color w:val="2E74B5" w:themeColor="accent5" w:themeShade="BF"/>
        </w:rPr>
        <w:t xml:space="preserve">L’ordinamento giuridico tiene distinto il </w:t>
      </w:r>
      <w:r w:rsidRPr="00FD54B9">
        <w:rPr>
          <w:rFonts w:ascii="Times New Roman" w:hAnsi="Times New Roman" w:cs="Times New Roman"/>
          <w:bCs/>
          <w:i/>
          <w:iCs/>
          <w:color w:val="2E74B5" w:themeColor="accent5" w:themeShade="BF"/>
        </w:rPr>
        <w:t>diritto</w:t>
      </w:r>
      <w:r w:rsidRPr="00FD54B9">
        <w:rPr>
          <w:rFonts w:ascii="Times New Roman" w:hAnsi="Times New Roman" w:cs="Times New Roman"/>
          <w:bCs/>
          <w:color w:val="2E74B5" w:themeColor="accent5" w:themeShade="BF"/>
        </w:rPr>
        <w:t xml:space="preserve"> di esercitare sulla cosa un determinato potere ed il </w:t>
      </w:r>
      <w:r w:rsidRPr="00FD54B9">
        <w:rPr>
          <w:rFonts w:ascii="Times New Roman" w:hAnsi="Times New Roman" w:cs="Times New Roman"/>
          <w:bCs/>
          <w:i/>
          <w:iCs/>
          <w:color w:val="2E74B5" w:themeColor="accent5" w:themeShade="BF"/>
        </w:rPr>
        <w:t>fatto</w:t>
      </w:r>
      <w:r w:rsidRPr="00FD54B9">
        <w:rPr>
          <w:rFonts w:ascii="Times New Roman" w:hAnsi="Times New Roman" w:cs="Times New Roman"/>
          <w:bCs/>
          <w:color w:val="2E74B5" w:themeColor="accent5" w:themeShade="BF"/>
        </w:rPr>
        <w:t xml:space="preserve"> di esercitarlo concretamente. Seppure nella maggior parte dei casi tali situazioni coincidono, può darsi che vi siano soggetti che – pur essendo privi del relativo diritto – ne esercitano di fatto i poteri e le facoltà che ad esso sono connessi. Il </w:t>
      </w:r>
      <w:r w:rsidRPr="00FD54B9">
        <w:rPr>
          <w:rFonts w:ascii="Times New Roman" w:hAnsi="Times New Roman" w:cs="Times New Roman"/>
          <w:bCs/>
          <w:i/>
          <w:iCs/>
          <w:color w:val="2E74B5" w:themeColor="accent5" w:themeShade="BF"/>
        </w:rPr>
        <w:t>possesso</w:t>
      </w:r>
      <w:r>
        <w:rPr>
          <w:rFonts w:ascii="Times New Roman" w:hAnsi="Times New Roman" w:cs="Times New Roman"/>
          <w:bCs/>
          <w:i/>
          <w:iCs/>
          <w:color w:val="2E74B5" w:themeColor="accent5" w:themeShade="BF"/>
        </w:rPr>
        <w:t xml:space="preserve"> </w:t>
      </w:r>
      <w:r>
        <w:rPr>
          <w:rFonts w:ascii="Times New Roman" w:hAnsi="Times New Roman" w:cs="Times New Roman"/>
          <w:bCs/>
          <w:color w:val="2E74B5" w:themeColor="accent5" w:themeShade="BF"/>
        </w:rPr>
        <w:t>(art. 1140 cod. civ.)</w:t>
      </w:r>
      <w:r w:rsidRPr="00FD54B9">
        <w:rPr>
          <w:rFonts w:ascii="Times New Roman" w:hAnsi="Times New Roman" w:cs="Times New Roman"/>
          <w:bCs/>
          <w:color w:val="2E74B5" w:themeColor="accent5" w:themeShade="BF"/>
        </w:rPr>
        <w:t xml:space="preserve">, dunque, è proprio quel potere </w:t>
      </w:r>
      <w:r>
        <w:rPr>
          <w:rFonts w:ascii="Times New Roman" w:hAnsi="Times New Roman" w:cs="Times New Roman"/>
          <w:bCs/>
          <w:color w:val="2E74B5" w:themeColor="accent5" w:themeShade="BF"/>
        </w:rPr>
        <w:t xml:space="preserve">di fatto </w:t>
      </w:r>
      <w:r w:rsidRPr="00FD54B9">
        <w:rPr>
          <w:rFonts w:ascii="Times New Roman" w:hAnsi="Times New Roman" w:cs="Times New Roman"/>
          <w:bCs/>
          <w:color w:val="2E74B5" w:themeColor="accent5" w:themeShade="BF"/>
        </w:rPr>
        <w:t>che viene esercitato sulla cosa, il cui contenuto può essere corrispondente a quello che spetta al proprietario (titolare del relativo diritto) ovvero minore, e quindi corrispondente ad altro diritto reale. In ogni caso esso si caratterizza sia per la contemporanea presenza di un elemento oggettivo (l’apprensione materiale della cosa, la sua disponibilità) e da un elemento soggettivo (l’intenzione di esercitare sulla cosa un determinato potere, escludendo ogni volontà di riconoscere la titolarità del corrispondente diritto ad altri, né tantomeno la volontà di restituire a questi la cosa).</w:t>
      </w:r>
    </w:p>
    <w:p w14:paraId="69B5D0FF" w14:textId="77777777" w:rsidR="000E7345" w:rsidRDefault="000E7345" w:rsidP="000E7345">
      <w:pPr>
        <w:spacing w:after="0" w:line="240" w:lineRule="auto"/>
        <w:rPr>
          <w:rFonts w:ascii="Times New Roman" w:hAnsi="Times New Roman" w:cs="Times New Roman"/>
          <w:sz w:val="28"/>
          <w:szCs w:val="28"/>
        </w:rPr>
      </w:pPr>
    </w:p>
    <w:p w14:paraId="7F1FC88F"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015E14CF"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IV, Cap. 18, par. 1</w:t>
      </w:r>
    </w:p>
    <w:p w14:paraId="1150EA3F"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 Cap. 5, par. 1</w:t>
      </w:r>
    </w:p>
    <w:p w14:paraId="68372A5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XVI, par. 174</w:t>
      </w:r>
    </w:p>
    <w:p w14:paraId="275FF41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 Sez. III, par. 245</w:t>
      </w:r>
    </w:p>
    <w:p w14:paraId="27247D49"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 Parte Terza, lett. C), par. 38</w:t>
      </w:r>
    </w:p>
    <w:p w14:paraId="3DE72C51"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 Decima, Cap. LIV, par. 416</w:t>
      </w:r>
    </w:p>
    <w:p w14:paraId="689BEE40" w14:textId="77777777" w:rsidR="000E7345" w:rsidRPr="00F96D7A" w:rsidRDefault="000E7345" w:rsidP="000E7345">
      <w:pPr>
        <w:spacing w:after="0" w:line="240" w:lineRule="auto"/>
        <w:rPr>
          <w:rFonts w:ascii="Times New Roman" w:hAnsi="Times New Roman" w:cs="Times New Roman"/>
          <w:sz w:val="28"/>
          <w:szCs w:val="28"/>
        </w:rPr>
      </w:pPr>
    </w:p>
    <w:p w14:paraId="410FEA63" w14:textId="77777777" w:rsidR="000E7345" w:rsidRPr="00DB1E82" w:rsidRDefault="000E7345" w:rsidP="000E73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Pr="00DB1E82">
        <w:rPr>
          <w:rFonts w:ascii="Times New Roman" w:hAnsi="Times New Roman" w:cs="Times New Roman"/>
          <w:sz w:val="28"/>
          <w:szCs w:val="28"/>
        </w:rPr>
        <w:t>Vi è compensazione legale quando:</w:t>
      </w:r>
    </w:p>
    <w:p w14:paraId="1A9FA957" w14:textId="77777777" w:rsidR="000E7345" w:rsidRPr="00FD54B9" w:rsidRDefault="000E7345" w:rsidP="000E7345">
      <w:pPr>
        <w:pStyle w:val="Paragrafoelenco"/>
        <w:numPr>
          <w:ilvl w:val="0"/>
          <w:numId w:val="8"/>
        </w:numPr>
        <w:spacing w:after="0" w:line="240" w:lineRule="auto"/>
        <w:rPr>
          <w:rFonts w:ascii="Times New Roman" w:hAnsi="Times New Roman" w:cs="Times New Roman"/>
          <w:sz w:val="28"/>
          <w:szCs w:val="28"/>
          <w:highlight w:val="yellow"/>
        </w:rPr>
      </w:pPr>
      <w:r w:rsidRPr="00FD54B9">
        <w:rPr>
          <w:rFonts w:ascii="Times New Roman" w:hAnsi="Times New Roman" w:cs="Times New Roman"/>
          <w:sz w:val="28"/>
          <w:szCs w:val="28"/>
          <w:highlight w:val="yellow"/>
        </w:rPr>
        <w:t>Vi è coesistenza di debiti reciproci che siano omogenei, liquidi ed esigibili</w:t>
      </w:r>
    </w:p>
    <w:p w14:paraId="7A302C1E" w14:textId="77777777" w:rsidR="000E7345" w:rsidRPr="00F96D7A" w:rsidRDefault="000E7345" w:rsidP="000E7345">
      <w:pPr>
        <w:pStyle w:val="Paragrafoelenco"/>
        <w:numPr>
          <w:ilvl w:val="0"/>
          <w:numId w:val="8"/>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I debiti reciproci siano esigibili, non liquidi ma di facile e pronta liquidazione</w:t>
      </w:r>
    </w:p>
    <w:p w14:paraId="25197FF9" w14:textId="77777777" w:rsidR="000E7345" w:rsidRPr="00F96D7A" w:rsidRDefault="000E7345" w:rsidP="000E7345">
      <w:pPr>
        <w:pStyle w:val="Paragrafoelenco"/>
        <w:numPr>
          <w:ilvl w:val="0"/>
          <w:numId w:val="8"/>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Le parti convengono tutte le condizioni di operatività della compensazione</w:t>
      </w:r>
    </w:p>
    <w:p w14:paraId="5E4F3DB6" w14:textId="77777777" w:rsidR="000E7345" w:rsidRPr="00F96D7A" w:rsidRDefault="000E7345" w:rsidP="000E7345">
      <w:pPr>
        <w:pStyle w:val="Paragrafoelenco"/>
        <w:numPr>
          <w:ilvl w:val="0"/>
          <w:numId w:val="8"/>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Vi è coesistenza di debiti reciproci che siano liquidi ed esigibili ma non omogenei</w:t>
      </w:r>
    </w:p>
    <w:p w14:paraId="20FF492F" w14:textId="77777777" w:rsidR="000E7345" w:rsidRDefault="000E7345" w:rsidP="000E7345">
      <w:pPr>
        <w:spacing w:after="0" w:line="240" w:lineRule="auto"/>
        <w:rPr>
          <w:rFonts w:ascii="Times New Roman" w:hAnsi="Times New Roman" w:cs="Times New Roman"/>
          <w:b/>
          <w:bCs/>
          <w:sz w:val="28"/>
          <w:szCs w:val="28"/>
        </w:rPr>
      </w:pPr>
    </w:p>
    <w:p w14:paraId="7CA75049" w14:textId="77777777" w:rsidR="000E7345" w:rsidRPr="0005230B" w:rsidRDefault="000E7345" w:rsidP="000E7345">
      <w:pPr>
        <w:spacing w:after="0" w:line="240" w:lineRule="auto"/>
        <w:jc w:val="both"/>
        <w:rPr>
          <w:rFonts w:ascii="Times New Roman" w:hAnsi="Times New Roman" w:cs="Times New Roman"/>
          <w:color w:val="2E74B5" w:themeColor="accent5" w:themeShade="BF"/>
        </w:rPr>
      </w:pPr>
      <w:r w:rsidRPr="0005230B">
        <w:rPr>
          <w:rFonts w:ascii="Times New Roman" w:hAnsi="Times New Roman" w:cs="Times New Roman"/>
          <w:b/>
          <w:bCs/>
          <w:color w:val="2E74B5" w:themeColor="accent5" w:themeShade="BF"/>
        </w:rPr>
        <w:t xml:space="preserve">SOLUZIONE: </w:t>
      </w:r>
      <w:r w:rsidRPr="0005230B">
        <w:rPr>
          <w:rFonts w:ascii="Times New Roman" w:hAnsi="Times New Roman" w:cs="Times New Roman"/>
          <w:color w:val="2E74B5" w:themeColor="accent5" w:themeShade="BF"/>
        </w:rPr>
        <w:t xml:space="preserve">Tra i vari modi di estinzione dell’obbligazione diversi dall’adempimento si annovera la compensazione. Si parla di compensazione </w:t>
      </w:r>
      <w:r w:rsidRPr="0005230B">
        <w:rPr>
          <w:rFonts w:ascii="Times New Roman" w:hAnsi="Times New Roman" w:cs="Times New Roman"/>
          <w:i/>
          <w:iCs/>
          <w:color w:val="2E74B5" w:themeColor="accent5" w:themeShade="BF"/>
        </w:rPr>
        <w:t>legale</w:t>
      </w:r>
      <w:r w:rsidRPr="0005230B">
        <w:rPr>
          <w:rFonts w:ascii="Times New Roman" w:hAnsi="Times New Roman" w:cs="Times New Roman"/>
          <w:color w:val="2E74B5" w:themeColor="accent5" w:themeShade="BF"/>
        </w:rPr>
        <w:t xml:space="preserve"> poiché l’estinzione dell’obbligazione opera automaticamente (art. 1243 cod. civ.), purché i crediti e i debiti reciproci abbiano i requisiti prescritte dalla legge: a) </w:t>
      </w:r>
      <w:r w:rsidRPr="0005230B">
        <w:rPr>
          <w:rFonts w:ascii="Times New Roman" w:hAnsi="Times New Roman" w:cs="Times New Roman"/>
          <w:i/>
          <w:iCs/>
          <w:color w:val="2E74B5" w:themeColor="accent5" w:themeShade="BF"/>
        </w:rPr>
        <w:t>omogeneità</w:t>
      </w:r>
      <w:r w:rsidRPr="0005230B">
        <w:rPr>
          <w:rFonts w:ascii="Times New Roman" w:hAnsi="Times New Roman" w:cs="Times New Roman"/>
          <w:color w:val="2E74B5" w:themeColor="accent5" w:themeShade="BF"/>
        </w:rPr>
        <w:t>: devono avere ad oggetto la medesima prestazione, ovvero somme di denaro o cose fungibili; b)</w:t>
      </w:r>
      <w:r w:rsidRPr="0005230B">
        <w:rPr>
          <w:rFonts w:ascii="Times New Roman" w:hAnsi="Times New Roman" w:cs="Times New Roman"/>
          <w:i/>
          <w:iCs/>
          <w:color w:val="2E74B5" w:themeColor="accent5" w:themeShade="BF"/>
        </w:rPr>
        <w:t xml:space="preserve"> liquidità</w:t>
      </w:r>
      <w:r w:rsidRPr="0005230B">
        <w:rPr>
          <w:rFonts w:ascii="Times New Roman" w:hAnsi="Times New Roman" w:cs="Times New Roman"/>
          <w:color w:val="2E74B5" w:themeColor="accent5" w:themeShade="BF"/>
        </w:rPr>
        <w:t xml:space="preserve">: il loro ammontare deve essere quantificato; c) </w:t>
      </w:r>
      <w:r w:rsidRPr="0005230B">
        <w:rPr>
          <w:rFonts w:ascii="Times New Roman" w:hAnsi="Times New Roman" w:cs="Times New Roman"/>
          <w:i/>
          <w:iCs/>
          <w:color w:val="2E74B5" w:themeColor="accent5" w:themeShade="BF"/>
        </w:rPr>
        <w:t>esigibilità</w:t>
      </w:r>
      <w:r w:rsidRPr="0005230B">
        <w:rPr>
          <w:rFonts w:ascii="Times New Roman" w:hAnsi="Times New Roman" w:cs="Times New Roman"/>
          <w:color w:val="2E74B5" w:themeColor="accent5" w:themeShade="BF"/>
        </w:rPr>
        <w:t>: non sono sottoposti a termine o a condizione, ovvero il termine deve essere già spirato o la condizione avverata</w:t>
      </w:r>
    </w:p>
    <w:p w14:paraId="39BFF3E9" w14:textId="77777777" w:rsidR="000E7345" w:rsidRDefault="000E7345" w:rsidP="000E7345">
      <w:pPr>
        <w:spacing w:after="0" w:line="240" w:lineRule="auto"/>
        <w:rPr>
          <w:rFonts w:ascii="Times New Roman" w:hAnsi="Times New Roman" w:cs="Times New Roman"/>
          <w:sz w:val="28"/>
          <w:szCs w:val="28"/>
        </w:rPr>
      </w:pPr>
    </w:p>
    <w:p w14:paraId="13FD00FF"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6C1BF7D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V, Cap. 19, par. 15</w:t>
      </w:r>
    </w:p>
    <w:p w14:paraId="07FF348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VII, Cap. 3, lett. B), par. 10</w:t>
      </w:r>
    </w:p>
    <w:p w14:paraId="648F78B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XX, Parte II, par. 224</w:t>
      </w:r>
    </w:p>
    <w:p w14:paraId="6F16AB24"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VIII, Sez. IV, par. 305</w:t>
      </w:r>
    </w:p>
    <w:p w14:paraId="53B079CA"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 Parte Terza, lett. Dd), par. 63</w:t>
      </w:r>
    </w:p>
    <w:p w14:paraId="343D2202"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 Settima, Cap. XXXVII, par. 297</w:t>
      </w:r>
    </w:p>
    <w:p w14:paraId="284E8896" w14:textId="77777777" w:rsidR="000E7345" w:rsidRPr="00F96D7A" w:rsidRDefault="000E7345" w:rsidP="000E7345">
      <w:pPr>
        <w:spacing w:after="0" w:line="240" w:lineRule="auto"/>
        <w:rPr>
          <w:rFonts w:ascii="Times New Roman" w:hAnsi="Times New Roman" w:cs="Times New Roman"/>
          <w:sz w:val="28"/>
          <w:szCs w:val="28"/>
        </w:rPr>
      </w:pPr>
    </w:p>
    <w:p w14:paraId="67DA9E82" w14:textId="77777777" w:rsidR="000E7345" w:rsidRPr="00DB1E82" w:rsidRDefault="000E7345" w:rsidP="000E734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DB1E82">
        <w:rPr>
          <w:rFonts w:ascii="Times New Roman" w:hAnsi="Times New Roman" w:cs="Times New Roman"/>
          <w:sz w:val="28"/>
          <w:szCs w:val="28"/>
        </w:rPr>
        <w:t>Qual è la conseguenza dell’adempimento di un’obbligazione naturale?</w:t>
      </w:r>
    </w:p>
    <w:p w14:paraId="48FFCE06" w14:textId="77777777" w:rsidR="000E7345" w:rsidRPr="00F96D7A" w:rsidRDefault="000E7345" w:rsidP="000E7345">
      <w:pPr>
        <w:pStyle w:val="Paragrafoelenco"/>
        <w:numPr>
          <w:ilvl w:val="0"/>
          <w:numId w:val="7"/>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La restituzione di quanto pagato, su richiesta di chi ha adempiuto</w:t>
      </w:r>
    </w:p>
    <w:p w14:paraId="188F8C22" w14:textId="77777777" w:rsidR="000E7345" w:rsidRPr="00F96D7A" w:rsidRDefault="000E7345" w:rsidP="000E7345">
      <w:pPr>
        <w:pStyle w:val="Paragrafoelenco"/>
        <w:numPr>
          <w:ilvl w:val="0"/>
          <w:numId w:val="7"/>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L’irripetibilità di ciò che è stato pagato, purch</w:t>
      </w:r>
      <w:r>
        <w:rPr>
          <w:rFonts w:ascii="Times New Roman" w:hAnsi="Times New Roman" w:cs="Times New Roman"/>
          <w:sz w:val="28"/>
          <w:szCs w:val="28"/>
        </w:rPr>
        <w:t>é</w:t>
      </w:r>
      <w:r w:rsidRPr="00F96D7A">
        <w:rPr>
          <w:rFonts w:ascii="Times New Roman" w:hAnsi="Times New Roman" w:cs="Times New Roman"/>
          <w:sz w:val="28"/>
          <w:szCs w:val="28"/>
        </w:rPr>
        <w:t xml:space="preserve"> l’adempimento sia avvenuto a seguito di domanda giudiziale del creditore</w:t>
      </w:r>
    </w:p>
    <w:p w14:paraId="55FFA08F" w14:textId="77777777" w:rsidR="000E7345" w:rsidRPr="0005230B" w:rsidRDefault="000E7345" w:rsidP="000E7345">
      <w:pPr>
        <w:pStyle w:val="Paragrafoelenco"/>
        <w:numPr>
          <w:ilvl w:val="0"/>
          <w:numId w:val="7"/>
        </w:numPr>
        <w:spacing w:after="0" w:line="240" w:lineRule="auto"/>
        <w:rPr>
          <w:rFonts w:ascii="Times New Roman" w:hAnsi="Times New Roman" w:cs="Times New Roman"/>
          <w:sz w:val="28"/>
          <w:szCs w:val="28"/>
          <w:highlight w:val="yellow"/>
        </w:rPr>
      </w:pPr>
      <w:r w:rsidRPr="0005230B">
        <w:rPr>
          <w:rFonts w:ascii="Times New Roman" w:hAnsi="Times New Roman" w:cs="Times New Roman"/>
          <w:sz w:val="28"/>
          <w:szCs w:val="28"/>
          <w:highlight w:val="yellow"/>
        </w:rPr>
        <w:t>L’irripetibilità di ciò che è stato pagato, purché sia stato eseguito spontaneamente da un soggetto capace di agire</w:t>
      </w:r>
    </w:p>
    <w:p w14:paraId="4ABF6E3B" w14:textId="77777777" w:rsidR="000E7345" w:rsidRDefault="000E7345" w:rsidP="000E7345">
      <w:pPr>
        <w:pStyle w:val="Paragrafoelenco"/>
        <w:numPr>
          <w:ilvl w:val="0"/>
          <w:numId w:val="7"/>
        </w:numPr>
        <w:spacing w:after="0" w:line="240" w:lineRule="auto"/>
        <w:rPr>
          <w:rFonts w:ascii="Times New Roman" w:hAnsi="Times New Roman" w:cs="Times New Roman"/>
          <w:sz w:val="28"/>
          <w:szCs w:val="28"/>
        </w:rPr>
      </w:pPr>
      <w:r w:rsidRPr="00F96D7A">
        <w:rPr>
          <w:rFonts w:ascii="Times New Roman" w:hAnsi="Times New Roman" w:cs="Times New Roman"/>
          <w:sz w:val="28"/>
          <w:szCs w:val="28"/>
        </w:rPr>
        <w:t>L’irripetibilità in ogni caso di ciò che è stato pagato</w:t>
      </w:r>
    </w:p>
    <w:p w14:paraId="2CF4B6EF" w14:textId="77777777" w:rsidR="000E7345" w:rsidRDefault="000E7345" w:rsidP="000E7345">
      <w:pPr>
        <w:pStyle w:val="Paragrafoelenco"/>
        <w:spacing w:after="0" w:line="240" w:lineRule="auto"/>
        <w:rPr>
          <w:rFonts w:ascii="Times New Roman" w:hAnsi="Times New Roman" w:cs="Times New Roman"/>
          <w:sz w:val="28"/>
          <w:szCs w:val="28"/>
        </w:rPr>
      </w:pPr>
    </w:p>
    <w:p w14:paraId="431ABF13" w14:textId="77777777" w:rsidR="000E7345" w:rsidRPr="00035F7C" w:rsidRDefault="000E7345" w:rsidP="000E7345">
      <w:pPr>
        <w:spacing w:after="0" w:line="240" w:lineRule="auto"/>
        <w:jc w:val="both"/>
        <w:rPr>
          <w:rFonts w:ascii="Times New Roman" w:hAnsi="Times New Roman" w:cs="Times New Roman"/>
          <w:bCs/>
          <w:color w:val="2E74B5" w:themeColor="accent5" w:themeShade="BF"/>
        </w:rPr>
      </w:pPr>
      <w:r w:rsidRPr="00035F7C">
        <w:rPr>
          <w:rFonts w:ascii="Times New Roman" w:hAnsi="Times New Roman" w:cs="Times New Roman"/>
          <w:b/>
          <w:color w:val="2E74B5" w:themeColor="accent5" w:themeShade="BF"/>
        </w:rPr>
        <w:t xml:space="preserve">SOLUZIONE: </w:t>
      </w:r>
      <w:r w:rsidRPr="00035F7C">
        <w:rPr>
          <w:rFonts w:ascii="Times New Roman" w:hAnsi="Times New Roman" w:cs="Times New Roman"/>
          <w:bCs/>
          <w:color w:val="2E74B5" w:themeColor="accent5" w:themeShade="BF"/>
        </w:rPr>
        <w:t>L’obbligazione naturale è quella che fonda non già su un dovere di natura giuridica, bensì su un dovere morale, etico o sociale. La diversità della fonte dell’obbligazione naturale</w:t>
      </w:r>
      <w:r>
        <w:rPr>
          <w:rFonts w:ascii="Times New Roman" w:hAnsi="Times New Roman" w:cs="Times New Roman"/>
          <w:bCs/>
          <w:color w:val="2E74B5" w:themeColor="accent5" w:themeShade="BF"/>
        </w:rPr>
        <w:t xml:space="preserve"> rispetto a quella civile</w:t>
      </w:r>
      <w:r w:rsidRPr="00035F7C">
        <w:rPr>
          <w:rFonts w:ascii="Times New Roman" w:hAnsi="Times New Roman" w:cs="Times New Roman"/>
          <w:bCs/>
          <w:color w:val="2E74B5" w:themeColor="accent5" w:themeShade="BF"/>
        </w:rPr>
        <w:t xml:space="preserve">, fa sì che non sussista alcun un obbligo di adempiere in capo al debitore. Pertanto, ove </w:t>
      </w:r>
      <w:r>
        <w:rPr>
          <w:rFonts w:ascii="Times New Roman" w:hAnsi="Times New Roman" w:cs="Times New Roman"/>
          <w:bCs/>
          <w:color w:val="2E74B5" w:themeColor="accent5" w:themeShade="BF"/>
        </w:rPr>
        <w:t>questi</w:t>
      </w:r>
      <w:r w:rsidRPr="00035F7C">
        <w:rPr>
          <w:rFonts w:ascii="Times New Roman" w:hAnsi="Times New Roman" w:cs="Times New Roman"/>
          <w:bCs/>
          <w:color w:val="2E74B5" w:themeColor="accent5" w:themeShade="BF"/>
        </w:rPr>
        <w:t xml:space="preserve"> che, </w:t>
      </w:r>
      <w:r>
        <w:rPr>
          <w:rFonts w:ascii="Times New Roman" w:hAnsi="Times New Roman" w:cs="Times New Roman"/>
          <w:bCs/>
          <w:color w:val="2E74B5" w:themeColor="accent5" w:themeShade="BF"/>
        </w:rPr>
        <w:t>pur non essendo</w:t>
      </w:r>
      <w:r w:rsidRPr="00035F7C">
        <w:rPr>
          <w:rFonts w:ascii="Times New Roman" w:hAnsi="Times New Roman" w:cs="Times New Roman"/>
          <w:bCs/>
          <w:color w:val="2E74B5" w:themeColor="accent5" w:themeShade="BF"/>
        </w:rPr>
        <w:t xml:space="preserve"> tenuto a farlo, esegue spontaneamente la prestazione</w:t>
      </w:r>
      <w:r>
        <w:rPr>
          <w:rFonts w:ascii="Times New Roman" w:hAnsi="Times New Roman" w:cs="Times New Roman"/>
          <w:bCs/>
          <w:color w:val="2E74B5" w:themeColor="accent5" w:themeShade="BF"/>
        </w:rPr>
        <w:t>,</w:t>
      </w:r>
      <w:r w:rsidRPr="00035F7C">
        <w:rPr>
          <w:rFonts w:ascii="Times New Roman" w:hAnsi="Times New Roman" w:cs="Times New Roman"/>
          <w:bCs/>
          <w:color w:val="2E74B5" w:themeColor="accent5" w:themeShade="BF"/>
        </w:rPr>
        <w:t xml:space="preserve"> non può </w:t>
      </w:r>
      <w:r>
        <w:rPr>
          <w:rFonts w:ascii="Times New Roman" w:hAnsi="Times New Roman" w:cs="Times New Roman"/>
          <w:bCs/>
          <w:color w:val="2E74B5" w:themeColor="accent5" w:themeShade="BF"/>
        </w:rPr>
        <w:t xml:space="preserve">successivamente </w:t>
      </w:r>
      <w:r w:rsidRPr="00035F7C">
        <w:rPr>
          <w:rFonts w:ascii="Times New Roman" w:hAnsi="Times New Roman" w:cs="Times New Roman"/>
          <w:bCs/>
          <w:color w:val="2E74B5" w:themeColor="accent5" w:themeShade="BF"/>
        </w:rPr>
        <w:t xml:space="preserve">pentirsene e, per ciò solo, chiedere la restituzione di ciò che ha pagato (art. 2043 cod. civ.). </w:t>
      </w:r>
      <w:r>
        <w:rPr>
          <w:rFonts w:ascii="Times New Roman" w:hAnsi="Times New Roman" w:cs="Times New Roman"/>
          <w:bCs/>
          <w:color w:val="2E74B5" w:themeColor="accent5" w:themeShade="BF"/>
        </w:rPr>
        <w:t>L</w:t>
      </w:r>
      <w:r w:rsidRPr="00035F7C">
        <w:rPr>
          <w:rFonts w:ascii="Times New Roman" w:hAnsi="Times New Roman" w:cs="Times New Roman"/>
          <w:bCs/>
          <w:color w:val="2E74B5" w:themeColor="accent5" w:themeShade="BF"/>
        </w:rPr>
        <w:t xml:space="preserve">a norma richiede che l’adesione alla regola morale o sociale sia compiuta da una persona capace di intendere e di volere, così come il conseguente adempimento della prestazione, il quale deve essere </w:t>
      </w:r>
      <w:r>
        <w:rPr>
          <w:rFonts w:ascii="Times New Roman" w:hAnsi="Times New Roman" w:cs="Times New Roman"/>
          <w:bCs/>
          <w:color w:val="2E74B5" w:themeColor="accent5" w:themeShade="BF"/>
        </w:rPr>
        <w:t>eseguito</w:t>
      </w:r>
      <w:r w:rsidRPr="00035F7C">
        <w:rPr>
          <w:rFonts w:ascii="Times New Roman" w:hAnsi="Times New Roman" w:cs="Times New Roman"/>
          <w:bCs/>
          <w:color w:val="2E74B5" w:themeColor="accent5" w:themeShade="BF"/>
        </w:rPr>
        <w:t xml:space="preserve"> spontaneamente.</w:t>
      </w:r>
    </w:p>
    <w:p w14:paraId="742103FB" w14:textId="77777777" w:rsidR="000E7345" w:rsidRDefault="000E7345" w:rsidP="000E7345">
      <w:pPr>
        <w:spacing w:after="0" w:line="240" w:lineRule="auto"/>
        <w:rPr>
          <w:rFonts w:ascii="Times New Roman" w:hAnsi="Times New Roman" w:cs="Times New Roman"/>
          <w:sz w:val="28"/>
          <w:szCs w:val="28"/>
        </w:rPr>
      </w:pPr>
    </w:p>
    <w:p w14:paraId="31A2AA59"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486DDD0B"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V, Cap. 18, par. 5</w:t>
      </w:r>
    </w:p>
    <w:p w14:paraId="39C5B82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VII, Cap. 1, lett. A), par. 10</w:t>
      </w:r>
    </w:p>
    <w:p w14:paraId="7135884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XVII, par. 191</w:t>
      </w:r>
    </w:p>
    <w:p w14:paraId="2DB8FD48"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VIII, Sez. II, par. 291</w:t>
      </w:r>
    </w:p>
    <w:p w14:paraId="2CD97AB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 Parte Terza, lett. Da), par.51</w:t>
      </w:r>
    </w:p>
    <w:p w14:paraId="2E4583DE"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Cap. XXXIV, par. 282</w:t>
      </w:r>
    </w:p>
    <w:p w14:paraId="3BE096C4" w14:textId="77777777" w:rsidR="000E7345" w:rsidRPr="0073089E" w:rsidRDefault="000E7345" w:rsidP="000E7345">
      <w:pPr>
        <w:spacing w:after="0" w:line="240" w:lineRule="auto"/>
        <w:rPr>
          <w:rFonts w:ascii="Times New Roman" w:hAnsi="Times New Roman" w:cs="Times New Roman"/>
          <w:sz w:val="28"/>
          <w:szCs w:val="28"/>
        </w:rPr>
      </w:pPr>
    </w:p>
    <w:p w14:paraId="3204C31B" w14:textId="77777777" w:rsidR="000E7345" w:rsidRPr="00F96D7A" w:rsidRDefault="000E7345" w:rsidP="000E7345">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F96D7A">
        <w:rPr>
          <w:rFonts w:ascii="Times New Roman" w:hAnsi="Times New Roman" w:cs="Times New Roman"/>
          <w:sz w:val="28"/>
          <w:szCs w:val="28"/>
        </w:rPr>
        <w:t>. Con la remissione del debito</w:t>
      </w:r>
    </w:p>
    <w:p w14:paraId="7BBDBDD8" w14:textId="77777777" w:rsidR="000E7345" w:rsidRPr="00F96D7A" w:rsidRDefault="000E7345" w:rsidP="000E7345">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F96D7A">
        <w:rPr>
          <w:rFonts w:ascii="Times New Roman" w:hAnsi="Times New Roman" w:cs="Times New Roman"/>
          <w:sz w:val="28"/>
          <w:szCs w:val="28"/>
        </w:rPr>
        <w:t>a) l’obbligazione si estingue ed il debitore è liberato</w:t>
      </w:r>
    </w:p>
    <w:p w14:paraId="3928FBE8" w14:textId="77777777" w:rsidR="000E7345" w:rsidRPr="00F96D7A" w:rsidRDefault="000E7345" w:rsidP="000E7345">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035F7C">
        <w:rPr>
          <w:rFonts w:ascii="Times New Roman" w:hAnsi="Times New Roman" w:cs="Times New Roman"/>
          <w:sz w:val="28"/>
          <w:szCs w:val="28"/>
          <w:highlight w:val="yellow"/>
        </w:rPr>
        <w:t>b) l’obbligazione si estingue, il debitore è liberato, ma può dichiarare di non volerne profittare</w:t>
      </w:r>
    </w:p>
    <w:p w14:paraId="7454D79B" w14:textId="77777777" w:rsidR="000E7345" w:rsidRPr="00F96D7A" w:rsidRDefault="000E7345" w:rsidP="000E7345">
      <w:pPr>
        <w:spacing w:after="0" w:line="240" w:lineRule="auto"/>
        <w:ind w:left="708"/>
        <w:rPr>
          <w:rFonts w:ascii="Times New Roman" w:hAnsi="Times New Roman" w:cs="Times New Roman"/>
          <w:sz w:val="28"/>
          <w:szCs w:val="28"/>
        </w:rPr>
      </w:pPr>
      <w:r w:rsidRPr="00F96D7A">
        <w:rPr>
          <w:rFonts w:ascii="Times New Roman" w:hAnsi="Times New Roman" w:cs="Times New Roman"/>
          <w:sz w:val="28"/>
          <w:szCs w:val="28"/>
        </w:rPr>
        <w:t>c) l’obbligazione si estingue solo dopo che il giudice abbia accertato la validità della remissione</w:t>
      </w:r>
    </w:p>
    <w:p w14:paraId="75E05DD3" w14:textId="77777777" w:rsidR="000E7345" w:rsidRDefault="000E7345" w:rsidP="000E7345">
      <w:pPr>
        <w:spacing w:after="0" w:line="240" w:lineRule="auto"/>
        <w:ind w:left="708"/>
        <w:rPr>
          <w:rFonts w:ascii="Times New Roman" w:hAnsi="Times New Roman" w:cs="Times New Roman"/>
          <w:sz w:val="28"/>
          <w:szCs w:val="28"/>
        </w:rPr>
      </w:pPr>
      <w:r w:rsidRPr="00F96D7A">
        <w:rPr>
          <w:rFonts w:ascii="Times New Roman" w:hAnsi="Times New Roman" w:cs="Times New Roman"/>
          <w:sz w:val="28"/>
          <w:szCs w:val="28"/>
        </w:rPr>
        <w:t>d) L’obbligazione non si estingue</w:t>
      </w:r>
      <w:r>
        <w:rPr>
          <w:rFonts w:ascii="Times New Roman" w:hAnsi="Times New Roman" w:cs="Times New Roman"/>
          <w:sz w:val="28"/>
          <w:szCs w:val="28"/>
        </w:rPr>
        <w:t xml:space="preserve"> </w:t>
      </w:r>
    </w:p>
    <w:p w14:paraId="3B7C660F" w14:textId="77777777" w:rsidR="000E7345" w:rsidRDefault="000E7345" w:rsidP="000E7345">
      <w:pPr>
        <w:spacing w:after="0" w:line="240" w:lineRule="auto"/>
        <w:rPr>
          <w:rFonts w:ascii="Times New Roman" w:hAnsi="Times New Roman" w:cs="Times New Roman"/>
          <w:sz w:val="28"/>
          <w:szCs w:val="28"/>
        </w:rPr>
      </w:pPr>
    </w:p>
    <w:p w14:paraId="2E641169" w14:textId="77777777" w:rsidR="000E7345" w:rsidRPr="00381C4A" w:rsidRDefault="000E7345" w:rsidP="000E7345">
      <w:pPr>
        <w:spacing w:after="0" w:line="240" w:lineRule="auto"/>
        <w:jc w:val="both"/>
        <w:rPr>
          <w:rFonts w:ascii="Times New Roman" w:hAnsi="Times New Roman" w:cs="Times New Roman"/>
          <w:color w:val="2E74B5" w:themeColor="accent5" w:themeShade="BF"/>
        </w:rPr>
      </w:pPr>
      <w:r w:rsidRPr="00381C4A">
        <w:rPr>
          <w:rFonts w:ascii="Times New Roman" w:hAnsi="Times New Roman" w:cs="Times New Roman"/>
          <w:b/>
          <w:bCs/>
          <w:color w:val="2E74B5" w:themeColor="accent5" w:themeShade="BF"/>
        </w:rPr>
        <w:t>SOLUZIONE:</w:t>
      </w:r>
      <w:r w:rsidRPr="00381C4A">
        <w:rPr>
          <w:rFonts w:ascii="Times New Roman" w:hAnsi="Times New Roman" w:cs="Times New Roman"/>
          <w:color w:val="2E74B5" w:themeColor="accent5" w:themeShade="BF"/>
        </w:rPr>
        <w:t xml:space="preserve"> La remissione è uno dei modi di estinzione dell’obbligazione diversi dall’adempimento, che si realizza per rinuncia pura e semplice del creditore all’adempimento; il debitore non è obbligato ad accettare, poiché avrebbe comunque interesse ad adempiere, purché lo dichiari espressamente entro un congruo termine (art. 1236 cod. civ.). Pertanto la remissione del creditore consiste in un negozio unilaterale di natura recettizia, che produce i suoi effetti quanto perviene nella sfera di conoscenza del debitore.</w:t>
      </w:r>
    </w:p>
    <w:p w14:paraId="4FFCB951" w14:textId="77777777" w:rsidR="000E7345" w:rsidRDefault="000E7345" w:rsidP="000E7345">
      <w:pPr>
        <w:spacing w:after="0" w:line="240" w:lineRule="auto"/>
        <w:rPr>
          <w:rFonts w:ascii="Times New Roman" w:hAnsi="Times New Roman" w:cs="Times New Roman"/>
          <w:sz w:val="28"/>
          <w:szCs w:val="28"/>
        </w:rPr>
      </w:pPr>
    </w:p>
    <w:p w14:paraId="2D5E3FE7"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13C654D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 Sez. V, Cap. 19, par. 18</w:t>
      </w:r>
    </w:p>
    <w:p w14:paraId="3AB1805E"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VII, Cap. 3, lett. B), par. 14</w:t>
      </w:r>
    </w:p>
    <w:p w14:paraId="46965BD5"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XX, Parte II, par. 227</w:t>
      </w:r>
    </w:p>
    <w:p w14:paraId="114DD160"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VIII, Sez. IV, par. 304</w:t>
      </w:r>
    </w:p>
    <w:p w14:paraId="7165FEE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 Parte Terza, lett. Db), par. 66</w:t>
      </w:r>
    </w:p>
    <w:p w14:paraId="70F1CCFF"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 Settima, Cap. XXXVII, par. 300</w:t>
      </w:r>
    </w:p>
    <w:p w14:paraId="07523911" w14:textId="77777777" w:rsidR="000E7345" w:rsidRDefault="000E7345" w:rsidP="000E7345">
      <w:pPr>
        <w:spacing w:after="0" w:line="240" w:lineRule="auto"/>
        <w:rPr>
          <w:rFonts w:ascii="Times New Roman" w:hAnsi="Times New Roman" w:cs="Times New Roman"/>
          <w:sz w:val="28"/>
          <w:szCs w:val="28"/>
        </w:rPr>
      </w:pPr>
    </w:p>
    <w:p w14:paraId="78640056" w14:textId="77777777" w:rsidR="000E7345" w:rsidRPr="00236CAA" w:rsidRDefault="000E7345" w:rsidP="000E7345">
      <w:pPr>
        <w:pStyle w:val="Paragrafoelenco"/>
        <w:numPr>
          <w:ilvl w:val="0"/>
          <w:numId w:val="11"/>
        </w:numPr>
        <w:rPr>
          <w:rFonts w:ascii="Times New Roman" w:hAnsi="Times New Roman" w:cs="Times New Roman"/>
          <w:sz w:val="28"/>
          <w:szCs w:val="28"/>
        </w:rPr>
      </w:pPr>
      <w:r w:rsidRPr="00236CAA">
        <w:rPr>
          <w:rFonts w:ascii="Times New Roman" w:hAnsi="Times New Roman" w:cs="Times New Roman"/>
          <w:sz w:val="28"/>
          <w:szCs w:val="28"/>
        </w:rPr>
        <w:t>Se è fissato un termine per l’adempimento dell’obbligazione e il debitore ha pagato anticipatamente, questi ha diritto di ripetere ciò che ha pagato?</w:t>
      </w:r>
    </w:p>
    <w:p w14:paraId="2F6DE82B" w14:textId="77777777" w:rsidR="000E7345" w:rsidRPr="00AF0AF4" w:rsidRDefault="000E7345" w:rsidP="000E7345">
      <w:pPr>
        <w:pStyle w:val="Paragrafoelenco"/>
        <w:numPr>
          <w:ilvl w:val="0"/>
          <w:numId w:val="9"/>
        </w:numPr>
        <w:jc w:val="left"/>
        <w:rPr>
          <w:rFonts w:ascii="Times New Roman" w:hAnsi="Times New Roman" w:cs="Times New Roman"/>
          <w:sz w:val="28"/>
          <w:szCs w:val="28"/>
        </w:rPr>
      </w:pPr>
      <w:r w:rsidRPr="00AF0AF4">
        <w:rPr>
          <w:rFonts w:ascii="Times New Roman" w:hAnsi="Times New Roman" w:cs="Times New Roman"/>
          <w:sz w:val="28"/>
          <w:szCs w:val="28"/>
        </w:rPr>
        <w:t>si, in ogni caso</w:t>
      </w:r>
    </w:p>
    <w:p w14:paraId="26707617" w14:textId="77777777" w:rsidR="000E7345" w:rsidRPr="00AF0AF4" w:rsidRDefault="000E7345" w:rsidP="000E7345">
      <w:pPr>
        <w:pStyle w:val="Paragrafoelenco"/>
        <w:numPr>
          <w:ilvl w:val="0"/>
          <w:numId w:val="9"/>
        </w:numPr>
        <w:rPr>
          <w:rFonts w:ascii="Times New Roman" w:hAnsi="Times New Roman" w:cs="Times New Roman"/>
          <w:sz w:val="28"/>
          <w:szCs w:val="28"/>
          <w:highlight w:val="yellow"/>
        </w:rPr>
      </w:pPr>
      <w:r w:rsidRPr="00AF0AF4">
        <w:rPr>
          <w:rFonts w:ascii="Times New Roman" w:hAnsi="Times New Roman" w:cs="Times New Roman"/>
          <w:sz w:val="28"/>
          <w:szCs w:val="28"/>
          <w:highlight w:val="yellow"/>
        </w:rPr>
        <w:lastRenderedPageBreak/>
        <w:t>no, anche se ignorava l’esistenza del termine ed in tal caso può ripetere, nei limiti della perdita subita, ciò di cui il creditore si è arricchito per effetto del pagamento anticipato</w:t>
      </w:r>
    </w:p>
    <w:p w14:paraId="436F1A3C" w14:textId="77777777" w:rsidR="000E7345" w:rsidRPr="0058422D" w:rsidRDefault="000E7345" w:rsidP="000E7345">
      <w:pPr>
        <w:pStyle w:val="Paragrafoelenco"/>
        <w:numPr>
          <w:ilvl w:val="0"/>
          <w:numId w:val="9"/>
        </w:numPr>
        <w:jc w:val="left"/>
        <w:rPr>
          <w:rFonts w:ascii="Times New Roman" w:hAnsi="Times New Roman" w:cs="Times New Roman"/>
          <w:sz w:val="28"/>
          <w:szCs w:val="28"/>
        </w:rPr>
      </w:pPr>
      <w:r w:rsidRPr="0058422D">
        <w:rPr>
          <w:rFonts w:ascii="Times New Roman" w:hAnsi="Times New Roman" w:cs="Times New Roman"/>
          <w:sz w:val="28"/>
          <w:szCs w:val="28"/>
        </w:rPr>
        <w:t>no, in alcun caso</w:t>
      </w:r>
    </w:p>
    <w:p w14:paraId="184E4D63" w14:textId="77777777" w:rsidR="000E7345" w:rsidRPr="00AF0AF4" w:rsidRDefault="000E7345" w:rsidP="000E7345">
      <w:pPr>
        <w:pStyle w:val="Paragrafoelenco"/>
        <w:numPr>
          <w:ilvl w:val="0"/>
          <w:numId w:val="9"/>
        </w:numPr>
        <w:jc w:val="left"/>
      </w:pPr>
      <w:r w:rsidRPr="00AF0AF4">
        <w:rPr>
          <w:rFonts w:ascii="Times New Roman" w:hAnsi="Times New Roman" w:cs="Times New Roman"/>
          <w:sz w:val="28"/>
          <w:szCs w:val="28"/>
        </w:rPr>
        <w:t>si, se ignorava l'esistenza del termine</w:t>
      </w:r>
    </w:p>
    <w:p w14:paraId="0EFB7D6C" w14:textId="77777777" w:rsidR="000E7345" w:rsidRDefault="000E7345" w:rsidP="000E7345">
      <w:pPr>
        <w:spacing w:after="0" w:line="240" w:lineRule="auto"/>
        <w:jc w:val="both"/>
        <w:rPr>
          <w:rFonts w:ascii="Times New Roman" w:hAnsi="Times New Roman" w:cs="Times New Roman"/>
          <w:bCs/>
          <w:color w:val="2E74B5" w:themeColor="accent5" w:themeShade="BF"/>
        </w:rPr>
      </w:pPr>
      <w:r w:rsidRPr="00C326ED">
        <w:rPr>
          <w:rFonts w:ascii="Times New Roman" w:hAnsi="Times New Roman" w:cs="Times New Roman"/>
          <w:b/>
          <w:color w:val="2E74B5" w:themeColor="accent5" w:themeShade="BF"/>
        </w:rPr>
        <w:t xml:space="preserve">SOLUZIONE: </w:t>
      </w:r>
      <w:r w:rsidRPr="00F973F9">
        <w:rPr>
          <w:rFonts w:ascii="Times New Roman" w:hAnsi="Times New Roman" w:cs="Times New Roman"/>
          <w:bCs/>
          <w:color w:val="2E74B5" w:themeColor="accent5" w:themeShade="BF"/>
        </w:rPr>
        <w:t xml:space="preserve">Gli </w:t>
      </w:r>
      <w:r>
        <w:rPr>
          <w:rFonts w:ascii="Times New Roman" w:hAnsi="Times New Roman" w:cs="Times New Roman"/>
          <w:bCs/>
          <w:color w:val="2E74B5" w:themeColor="accent5" w:themeShade="BF"/>
        </w:rPr>
        <w:t xml:space="preserve">artt. 1183 ss. cod. civ. regolano la disciplina del tempo dell’adempimento, che non va confuso con il termine del contratto (che attiene alla produzione degli effetti dello stesso). La determinazione del termine dell’adempimento è rimesso alla libera volontà delle parti, che possono fissarlo a favore del creditore, del debitore o di entrambi. Da ciò derivano i concetti di eseguibilità ed esigibilità della prestazione. Laddove il termine è fissato a favore del debitore (art. 1185) la prestazione, che pure è eseguibile, non è esigibile nel senso che il creditore non può esigere la stessa prima della scadenza del termine convenuto; dal canto suo, il debitore che intendere adempiere (essendo comunque la prestazione eseguibile) è libero di farlo, ma non potrà chiedere la ripetizione di quanto ha liberamente eseguito, anche nel caso in cui ignorasse l’esistenza del termine (si tratta, comunque, di una prestazione dovuta). Tuttavia, laddove il creditore avesse ricevuto dall’adempimento anticipato ulteriori arricchimenti, non riconducibili all’adempimento, il debitore che ha eseguito la prestazione ignorando l’esistenza del termine a suo favore ha diritto a richiederne la restituzione </w:t>
      </w:r>
    </w:p>
    <w:p w14:paraId="61076363" w14:textId="77777777" w:rsidR="000E7345" w:rsidRDefault="000E7345" w:rsidP="000E7345">
      <w:pPr>
        <w:spacing w:after="0" w:line="240" w:lineRule="auto"/>
        <w:jc w:val="both"/>
        <w:rPr>
          <w:rFonts w:ascii="Times New Roman" w:hAnsi="Times New Roman" w:cs="Times New Roman"/>
          <w:bCs/>
          <w:color w:val="2E74B5" w:themeColor="accent5" w:themeShade="BF"/>
        </w:rPr>
      </w:pPr>
    </w:p>
    <w:p w14:paraId="737CADEB" w14:textId="77777777" w:rsidR="000E7345" w:rsidRDefault="000E7345" w:rsidP="000E7345">
      <w:pPr>
        <w:spacing w:after="0" w:line="240" w:lineRule="auto"/>
        <w:jc w:val="both"/>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t>RIFERIMENTI BIBLIOGRAFICI:</w:t>
      </w:r>
    </w:p>
    <w:p w14:paraId="1129123A"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V. Roppo, Diritto Privato. Linee essenziali:</w:t>
      </w:r>
      <w:r w:rsidRPr="00C11482">
        <w:rPr>
          <w:rFonts w:ascii="Times New Roman" w:hAnsi="Times New Roman" w:cs="Times New Roman"/>
          <w:color w:val="2E74B5" w:themeColor="accent5" w:themeShade="BF"/>
        </w:rPr>
        <w:t xml:space="preserve"> </w:t>
      </w:r>
      <w:r>
        <w:rPr>
          <w:rFonts w:ascii="Times New Roman" w:hAnsi="Times New Roman" w:cs="Times New Roman"/>
          <w:color w:val="2E74B5" w:themeColor="accent5" w:themeShade="BF"/>
        </w:rPr>
        <w:t>Sez. V, Cap. 18, par. 2</w:t>
      </w:r>
    </w:p>
    <w:p w14:paraId="6FACE64D"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F. Bocchini-E. Quadri, Diritto privato: Parte VII, Cap. 3, par. 4</w:t>
      </w:r>
    </w:p>
    <w:p w14:paraId="570C10C2"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Torrente-P. Schlesinger, Manuale di diritto privato: Cap. XX, Parte II, par. 217</w:t>
      </w:r>
    </w:p>
    <w:p w14:paraId="04EBB4D4"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A. Trabucchi, Istituzioni di diritto civile: Capo VIII, Sez. III, par. 299</w:t>
      </w:r>
    </w:p>
    <w:p w14:paraId="6184CE07" w14:textId="77777777" w:rsidR="000E7345"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Perlingieri, Manuale di diritto civile: Parte Terza, lett. D), par. 59</w:t>
      </w:r>
    </w:p>
    <w:p w14:paraId="3EE0D868" w14:textId="77777777" w:rsidR="000E7345" w:rsidRPr="0073089E" w:rsidRDefault="000E7345" w:rsidP="000E7345">
      <w:pPr>
        <w:spacing w:after="0" w:line="240" w:lineRule="auto"/>
        <w:jc w:val="both"/>
        <w:rPr>
          <w:rFonts w:ascii="Times New Roman" w:hAnsi="Times New Roman" w:cs="Times New Roman"/>
          <w:color w:val="2E74B5" w:themeColor="accent5" w:themeShade="BF"/>
        </w:rPr>
      </w:pPr>
      <w:r>
        <w:rPr>
          <w:rFonts w:ascii="Times New Roman" w:hAnsi="Times New Roman" w:cs="Times New Roman"/>
          <w:color w:val="2E74B5" w:themeColor="accent5" w:themeShade="BF"/>
        </w:rPr>
        <w:t>P. Trimarchi, Istituzioni di diritto privato: Sez. Settima, Cap. XXXVII, par. 294</w:t>
      </w:r>
    </w:p>
    <w:p w14:paraId="2DBC03FF" w14:textId="77777777" w:rsidR="00E74F13" w:rsidRDefault="00E74F13"/>
    <w:sectPr w:rsidR="00E74F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9F3"/>
    <w:multiLevelType w:val="hybridMultilevel"/>
    <w:tmpl w:val="441C5AFA"/>
    <w:lvl w:ilvl="0" w:tplc="9A508BB0">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6154F"/>
    <w:multiLevelType w:val="hybridMultilevel"/>
    <w:tmpl w:val="9BB863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50E92"/>
    <w:multiLevelType w:val="hybridMultilevel"/>
    <w:tmpl w:val="2C6C86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B4AD4"/>
    <w:multiLevelType w:val="hybridMultilevel"/>
    <w:tmpl w:val="BF0A6F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E4E52"/>
    <w:multiLevelType w:val="hybridMultilevel"/>
    <w:tmpl w:val="C5D04BF8"/>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2EB63800"/>
    <w:multiLevelType w:val="hybridMultilevel"/>
    <w:tmpl w:val="A4A61E74"/>
    <w:lvl w:ilvl="0" w:tplc="A4B4283C">
      <w:start w:val="1"/>
      <w:numFmt w:val="lowerLetter"/>
      <w:lvlText w:val="%1)"/>
      <w:lvlJc w:val="left"/>
      <w:pPr>
        <w:ind w:left="1080" w:hanging="360"/>
      </w:pPr>
      <w:rPr>
        <w:rFonts w:ascii="Times New Roman" w:eastAsiaTheme="minorHAnsi" w:hAnsi="Times New Roman" w:cs="Times New Roman"/>
        <w:sz w:val="28"/>
        <w:szCs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7C671D1"/>
    <w:multiLevelType w:val="hybridMultilevel"/>
    <w:tmpl w:val="66A65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303011"/>
    <w:multiLevelType w:val="hybridMultilevel"/>
    <w:tmpl w:val="7EEA6B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B84E3C"/>
    <w:multiLevelType w:val="hybridMultilevel"/>
    <w:tmpl w:val="02A24D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835EED"/>
    <w:multiLevelType w:val="hybridMultilevel"/>
    <w:tmpl w:val="E2A20BF2"/>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7E03ED3"/>
    <w:multiLevelType w:val="hybridMultilevel"/>
    <w:tmpl w:val="3B885FDE"/>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7F216618"/>
    <w:multiLevelType w:val="hybridMultilevel"/>
    <w:tmpl w:val="D660B13A"/>
    <w:lvl w:ilvl="0" w:tplc="51A81206">
      <w:start w:val="1"/>
      <w:numFmt w:val="lowerLetter"/>
      <w:lvlText w:val="%1)"/>
      <w:lvlJc w:val="left"/>
      <w:pPr>
        <w:ind w:left="360" w:hanging="360"/>
      </w:pPr>
      <w:rPr>
        <w:rFonts w:ascii="Times New Roman" w:hAnsi="Times New Roman" w:cstheme="minorBid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4"/>
  </w:num>
  <w:num w:numId="6">
    <w:abstractNumId w:val="10"/>
  </w:num>
  <w:num w:numId="7">
    <w:abstractNumId w:val="3"/>
  </w:num>
  <w:num w:numId="8">
    <w:abstractNumId w:val="6"/>
  </w:num>
  <w:num w:numId="9">
    <w:abstractNumId w:val="5"/>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45"/>
    <w:rsid w:val="000E7345"/>
    <w:rsid w:val="00C92905"/>
    <w:rsid w:val="00E74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C46C"/>
  <w15:chartTrackingRefBased/>
  <w15:docId w15:val="{30E57B61-757C-41D1-BE07-F3F85DFE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7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7345"/>
    <w:pPr>
      <w:spacing w:after="200" w:line="276"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2700</Words>
  <Characters>15391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Trubiani</dc:creator>
  <cp:keywords/>
  <dc:description/>
  <cp:lastModifiedBy>Utente Windows</cp:lastModifiedBy>
  <cp:revision>2</cp:revision>
  <dcterms:created xsi:type="dcterms:W3CDTF">2023-02-03T13:50:00Z</dcterms:created>
  <dcterms:modified xsi:type="dcterms:W3CDTF">2023-02-03T13:50:00Z</dcterms:modified>
</cp:coreProperties>
</file>