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2164" w14:textId="0B4AD39A" w:rsidR="00783983" w:rsidRDefault="00783983" w:rsidP="007839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1C6FEE" w14:textId="77777777" w:rsidR="00783983" w:rsidRDefault="00783983" w:rsidP="007839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9CE0FA" w14:textId="67B1E90A" w:rsidR="00173E84" w:rsidRPr="00783983" w:rsidRDefault="00173E84" w:rsidP="007839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Digital Divide e minori</w:t>
      </w:r>
    </w:p>
    <w:p w14:paraId="104040C8" w14:textId="0C01F4D4" w:rsidR="00BA75E5" w:rsidRPr="00783983" w:rsidRDefault="00BA75E5" w:rsidP="007839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1A1706" w14:textId="4B3FC388" w:rsidR="00BA75E5" w:rsidRPr="00783983" w:rsidRDefault="00173E84" w:rsidP="0078398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A cosa ci si riferisce quando si parla di digital divide:</w:t>
      </w:r>
    </w:p>
    <w:p w14:paraId="751BC78C" w14:textId="669ED764" w:rsidR="00173E84" w:rsidRPr="00783983" w:rsidRDefault="00173E84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 xml:space="preserve">Alla separazione esistente tra le persone che dispongono di strumenti e competenze utili per l’accesso e l’utilizzo di tecnologie di comunicazione collegate ad internet e chi non ha tali competenze o strumenti. </w:t>
      </w:r>
    </w:p>
    <w:p w14:paraId="6434804B" w14:textId="739CA679" w:rsidR="00173E84" w:rsidRPr="00783983" w:rsidRDefault="00173E84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 xml:space="preserve">Alla separazione esistente tra le persone che non dispongono di strumenti e competenze per l’accesso e l’utilizzo di tecnologie di comunicazione collegate ad internet e chi non ha tali competenze o strumenti. </w:t>
      </w:r>
    </w:p>
    <w:p w14:paraId="76B9FA9B" w14:textId="7248C2E3" w:rsidR="00173E84" w:rsidRPr="00783983" w:rsidRDefault="00173E84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Alla separazione esistente tra le persone con un basso reddito pro-capite e quelle con un reddito pro-capite medio-alto.</w:t>
      </w:r>
    </w:p>
    <w:p w14:paraId="6C697BF8" w14:textId="77777777" w:rsidR="00173E84" w:rsidRPr="00783983" w:rsidRDefault="00173E84" w:rsidP="00783983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6E8F696" w14:textId="3E60A6DB" w:rsidR="00173E84" w:rsidRPr="00783983" w:rsidRDefault="00D10BFE" w:rsidP="0078398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All’interno del contesto digital divide, nella definizione di strumenti viene ricompresa:</w:t>
      </w:r>
    </w:p>
    <w:p w14:paraId="38277D18" w14:textId="1CEDF13C" w:rsidR="00D10BFE" w:rsidRPr="00783983" w:rsidRDefault="00D10BFE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La copertura di rete nel territorio e la disponibilità della connessione</w:t>
      </w:r>
    </w:p>
    <w:p w14:paraId="6F4C3DD2" w14:textId="56F4A0B6" w:rsidR="00D10BFE" w:rsidRPr="00783983" w:rsidRDefault="00D10BFE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Solo il software</w:t>
      </w:r>
    </w:p>
    <w:p w14:paraId="0D17FA13" w14:textId="4D284196" w:rsidR="00D10BFE" w:rsidRPr="00783983" w:rsidRDefault="00D10BFE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Solo l’hardware</w:t>
      </w:r>
    </w:p>
    <w:p w14:paraId="1C68EC63" w14:textId="77777777" w:rsidR="00D10BFE" w:rsidRPr="00783983" w:rsidRDefault="00D10BFE" w:rsidP="00783983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13C6163" w14:textId="61040DB9" w:rsidR="00D10BFE" w:rsidRPr="00783983" w:rsidRDefault="00D10BFE" w:rsidP="0078398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Il digital divide tecnologico colpisce maggiormente</w:t>
      </w:r>
    </w:p>
    <w:p w14:paraId="738F6405" w14:textId="64BEC97D" w:rsidR="00D10BFE" w:rsidRPr="00783983" w:rsidRDefault="00D10BFE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Il Nord Italia</w:t>
      </w:r>
    </w:p>
    <w:p w14:paraId="0644B261" w14:textId="27F0C360" w:rsidR="00D10BFE" w:rsidRPr="00783983" w:rsidRDefault="00D10BFE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Il Centro</w:t>
      </w:r>
    </w:p>
    <w:p w14:paraId="5A84009B" w14:textId="18916D8C" w:rsidR="00D10BFE" w:rsidRPr="00783983" w:rsidRDefault="00D10BFE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Il Mezzogiorno</w:t>
      </w:r>
    </w:p>
    <w:p w14:paraId="1E244876" w14:textId="77777777" w:rsidR="00D10BFE" w:rsidRPr="00783983" w:rsidRDefault="00D10BFE" w:rsidP="00783983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3D7174F" w14:textId="76730C2E" w:rsidR="00D10BFE" w:rsidRPr="00783983" w:rsidRDefault="00D10BFE" w:rsidP="0078398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Il digital divide tecnologico si evidenzia:</w:t>
      </w:r>
    </w:p>
    <w:p w14:paraId="36A734DA" w14:textId="2355F096" w:rsidR="00D10BFE" w:rsidRPr="00783983" w:rsidRDefault="00D10BFE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Nella diversa distribuzione delle infrastrutture di telecomunicazione presenti nel territorio</w:t>
      </w:r>
    </w:p>
    <w:p w14:paraId="32FB781E" w14:textId="1C819D2C" w:rsidR="00D10BFE" w:rsidRPr="00783983" w:rsidRDefault="00D10BFE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Nella diversa distribuzione delle infrastrutture di trasporto presenti nel territorio</w:t>
      </w:r>
    </w:p>
    <w:p w14:paraId="33775AE8" w14:textId="07E6DEFB" w:rsidR="00D10BFE" w:rsidRPr="00783983" w:rsidRDefault="00D10BFE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Nella mancanza di competenze digitali generalizzate nella popolazione presente nel territorio</w:t>
      </w:r>
    </w:p>
    <w:p w14:paraId="3F050845" w14:textId="77777777" w:rsidR="008151CD" w:rsidRPr="00783983" w:rsidRDefault="008151CD" w:rsidP="00783983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034E2A1" w14:textId="20CA5C5A" w:rsidR="008151CD" w:rsidRPr="00783983" w:rsidRDefault="008151CD" w:rsidP="0078398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Il dato anagrafico e il livello di scolarizzazione:</w:t>
      </w:r>
    </w:p>
    <w:p w14:paraId="0E459BBA" w14:textId="450F2382" w:rsidR="008151CD" w:rsidRPr="00783983" w:rsidRDefault="008151CD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Hanno impatto sul digital divide</w:t>
      </w:r>
    </w:p>
    <w:p w14:paraId="70D209AA" w14:textId="680AAE01" w:rsidR="008151CD" w:rsidRPr="00783983" w:rsidRDefault="008151CD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Non hanno nessun impatto sul digital divide</w:t>
      </w:r>
    </w:p>
    <w:p w14:paraId="7CC23D2B" w14:textId="438164FA" w:rsidR="008151CD" w:rsidRPr="00783983" w:rsidRDefault="008151CD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lastRenderedPageBreak/>
        <w:t>Hanno meno impatto di altri fattori quali il reddito e la cittadinanza</w:t>
      </w:r>
    </w:p>
    <w:p w14:paraId="560B973F" w14:textId="77777777" w:rsidR="000666BF" w:rsidRPr="00783983" w:rsidRDefault="000666BF" w:rsidP="00783983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8F17E26" w14:textId="12FC52B5" w:rsidR="000666BF" w:rsidRPr="00783983" w:rsidRDefault="006C3109" w:rsidP="0078398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Quante e quali fasi hanno caratterizzato il rapporto fra lockdown e diritto all’istruzione nelle scuole</w:t>
      </w:r>
    </w:p>
    <w:p w14:paraId="74FD9FA0" w14:textId="0CD60B92" w:rsidR="006C3109" w:rsidRPr="00783983" w:rsidRDefault="006C3109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 xml:space="preserve">Tre fasi. In cui sono state adottate prima la DAD, poi la DDI </w:t>
      </w:r>
      <w:proofErr w:type="gramStart"/>
      <w:r w:rsidRPr="00783983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83983">
        <w:rPr>
          <w:rFonts w:ascii="Times New Roman" w:hAnsi="Times New Roman" w:cs="Times New Roman"/>
          <w:sz w:val="24"/>
          <w:szCs w:val="24"/>
        </w:rPr>
        <w:t xml:space="preserve">, infine, il </w:t>
      </w:r>
      <w:proofErr w:type="spellStart"/>
      <w:r w:rsidRPr="00783983">
        <w:rPr>
          <w:rFonts w:ascii="Times New Roman" w:hAnsi="Times New Roman" w:cs="Times New Roman"/>
          <w:sz w:val="24"/>
          <w:szCs w:val="24"/>
        </w:rPr>
        <w:t>greenpass</w:t>
      </w:r>
      <w:proofErr w:type="spellEnd"/>
    </w:p>
    <w:p w14:paraId="02E5ED6F" w14:textId="0F8466F7" w:rsidR="006C3109" w:rsidRPr="00783983" w:rsidRDefault="006C3109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 xml:space="preserve">Quattro fasi. In cui sono state adottate prima la DAD, poi la DDI </w:t>
      </w:r>
      <w:proofErr w:type="gramStart"/>
      <w:r w:rsidRPr="00783983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83983">
        <w:rPr>
          <w:rFonts w:ascii="Times New Roman" w:hAnsi="Times New Roman" w:cs="Times New Roman"/>
          <w:sz w:val="24"/>
          <w:szCs w:val="24"/>
        </w:rPr>
        <w:t xml:space="preserve">, infine, il tampone </w:t>
      </w:r>
      <w:proofErr w:type="spellStart"/>
      <w:r w:rsidRPr="00783983">
        <w:rPr>
          <w:rFonts w:ascii="Times New Roman" w:hAnsi="Times New Roman" w:cs="Times New Roman"/>
          <w:sz w:val="24"/>
          <w:szCs w:val="24"/>
        </w:rPr>
        <w:t>generallizato</w:t>
      </w:r>
      <w:proofErr w:type="spellEnd"/>
      <w:r w:rsidRPr="00783983">
        <w:rPr>
          <w:rFonts w:ascii="Times New Roman" w:hAnsi="Times New Roman" w:cs="Times New Roman"/>
          <w:sz w:val="24"/>
          <w:szCs w:val="24"/>
        </w:rPr>
        <w:t xml:space="preserve"> ed il </w:t>
      </w:r>
      <w:proofErr w:type="spellStart"/>
      <w:r w:rsidRPr="00783983">
        <w:rPr>
          <w:rFonts w:ascii="Times New Roman" w:hAnsi="Times New Roman" w:cs="Times New Roman"/>
          <w:sz w:val="24"/>
          <w:szCs w:val="24"/>
        </w:rPr>
        <w:t>greenpass</w:t>
      </w:r>
      <w:proofErr w:type="spellEnd"/>
      <w:r w:rsidRPr="00783983">
        <w:rPr>
          <w:rFonts w:ascii="Times New Roman" w:hAnsi="Times New Roman" w:cs="Times New Roman"/>
          <w:sz w:val="24"/>
          <w:szCs w:val="24"/>
        </w:rPr>
        <w:t xml:space="preserve"> con vaccino obbligatorio per gli studenti.</w:t>
      </w:r>
    </w:p>
    <w:p w14:paraId="63724A04" w14:textId="54CE4A2F" w:rsidR="006C3109" w:rsidRPr="00783983" w:rsidRDefault="006C3109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 xml:space="preserve">Tre fasi. Il lockdown generalizzato contraddistinto dall’assenza di didattica, il lockdown localizzato caratterizzato da un ritorno alla Didattica in presenza, ed infine all’utilizzo del </w:t>
      </w:r>
      <w:proofErr w:type="spellStart"/>
      <w:r w:rsidRPr="00783983">
        <w:rPr>
          <w:rFonts w:ascii="Times New Roman" w:hAnsi="Times New Roman" w:cs="Times New Roman"/>
          <w:sz w:val="24"/>
          <w:szCs w:val="24"/>
        </w:rPr>
        <w:t>greenpass</w:t>
      </w:r>
      <w:proofErr w:type="spellEnd"/>
      <w:r w:rsidRPr="00783983">
        <w:rPr>
          <w:rFonts w:ascii="Times New Roman" w:hAnsi="Times New Roman" w:cs="Times New Roman"/>
          <w:sz w:val="24"/>
          <w:szCs w:val="24"/>
        </w:rPr>
        <w:t xml:space="preserve"> da vaccino per l’ammissione degli studenti a scuola.</w:t>
      </w:r>
    </w:p>
    <w:p w14:paraId="0900CB30" w14:textId="77777777" w:rsidR="00EB6278" w:rsidRPr="00783983" w:rsidRDefault="00EB6278" w:rsidP="00783983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6A6B72E" w14:textId="4610298A" w:rsidR="00EB6278" w:rsidRPr="00783983" w:rsidRDefault="00856FBF" w:rsidP="0078398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Le differenze di natura economica</w:t>
      </w:r>
    </w:p>
    <w:p w14:paraId="75166F24" w14:textId="1463281C" w:rsidR="00400FE7" w:rsidRPr="00783983" w:rsidRDefault="00400FE7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Hanno pesato sul maggior o minor accesso alle tecnologie necessarie per la DAD</w:t>
      </w:r>
    </w:p>
    <w:p w14:paraId="3B067F08" w14:textId="618EB8BA" w:rsidR="00400FE7" w:rsidRPr="00783983" w:rsidRDefault="00400FE7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Non hanno pesato sull’accesso alle tecnologie necessarie per la DAD</w:t>
      </w:r>
    </w:p>
    <w:p w14:paraId="3B51A51E" w14:textId="2A5B89B5" w:rsidR="00400FE7" w:rsidRPr="00783983" w:rsidRDefault="00400FE7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Hanno giocato un ruolo fondamentale per assicurare l’uguaglianza sostanziale durante la DAD</w:t>
      </w:r>
    </w:p>
    <w:p w14:paraId="14BEAD70" w14:textId="77777777" w:rsidR="00400FE7" w:rsidRPr="00783983" w:rsidRDefault="00400FE7" w:rsidP="00783983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617C522" w14:textId="64662DDF" w:rsidR="00400FE7" w:rsidRPr="00783983" w:rsidRDefault="00400FE7" w:rsidP="0078398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La legge n.107 del 2015 c.d. “Buona scuola”</w:t>
      </w:r>
    </w:p>
    <w:p w14:paraId="3EFAAF46" w14:textId="05F87493" w:rsidR="00400FE7" w:rsidRPr="00783983" w:rsidRDefault="00400FE7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Ha incrementato il ruolo e l’importanza delle regioni</w:t>
      </w:r>
    </w:p>
    <w:p w14:paraId="279CE40D" w14:textId="72BBBEFC" w:rsidR="00400FE7" w:rsidRPr="00783983" w:rsidRDefault="00400FE7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Ha aumentato l’autonomia scolastica e quella regionale</w:t>
      </w:r>
    </w:p>
    <w:p w14:paraId="279AC900" w14:textId="79713B31" w:rsidR="00400FE7" w:rsidRPr="00783983" w:rsidRDefault="00400FE7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Ha confermato la tendenza del legislatore nazionale ad una centralizzazione della materia</w:t>
      </w:r>
    </w:p>
    <w:p w14:paraId="07F8CCB4" w14:textId="77777777" w:rsidR="00400FE7" w:rsidRPr="00783983" w:rsidRDefault="00400FE7" w:rsidP="00783983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966D7C9" w14:textId="2FE4CECB" w:rsidR="00400FE7" w:rsidRPr="00783983" w:rsidRDefault="00400FE7" w:rsidP="0078398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La scuola si definisce come</w:t>
      </w:r>
    </w:p>
    <w:p w14:paraId="77DE0F38" w14:textId="20C91D53" w:rsidR="00400FE7" w:rsidRPr="00783983" w:rsidRDefault="00400FE7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Una formazione sociale essenziale per la formazione e lo sviluppo della personalità dell’individuo</w:t>
      </w:r>
    </w:p>
    <w:p w14:paraId="267DEB90" w14:textId="77777777" w:rsidR="00400FE7" w:rsidRPr="00783983" w:rsidRDefault="00400FE7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Una formazione sociale essenziale per garantire la disuguaglianza formale e sostanziale tra individui</w:t>
      </w:r>
    </w:p>
    <w:p w14:paraId="49B0BCB7" w14:textId="1C44A19B" w:rsidR="00400FE7" w:rsidRPr="00783983" w:rsidRDefault="00400FE7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Una formazione sociale essenziale per la crescita intellettiva e culturale dell’individuo</w:t>
      </w:r>
    </w:p>
    <w:p w14:paraId="0FF88B15" w14:textId="77777777" w:rsidR="00400FE7" w:rsidRPr="00783983" w:rsidRDefault="00400FE7" w:rsidP="00783983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E76BF35" w14:textId="07F35090" w:rsidR="00400FE7" w:rsidRPr="00783983" w:rsidRDefault="00400FE7" w:rsidP="0078398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 xml:space="preserve"> Data la situazione pregressa</w:t>
      </w:r>
      <w:r w:rsidR="00B43D6D" w:rsidRPr="00783983">
        <w:rPr>
          <w:rFonts w:ascii="Times New Roman" w:hAnsi="Times New Roman" w:cs="Times New Roman"/>
          <w:sz w:val="24"/>
          <w:szCs w:val="24"/>
        </w:rPr>
        <w:t xml:space="preserve"> del sistema scolastico</w:t>
      </w:r>
      <w:r w:rsidRPr="00783983">
        <w:rPr>
          <w:rFonts w:ascii="Times New Roman" w:hAnsi="Times New Roman" w:cs="Times New Roman"/>
          <w:sz w:val="24"/>
          <w:szCs w:val="24"/>
        </w:rPr>
        <w:t>, la DAD</w:t>
      </w:r>
    </w:p>
    <w:p w14:paraId="763C46DA" w14:textId="70CCFF3D" w:rsidR="00400FE7" w:rsidRPr="00783983" w:rsidRDefault="00400FE7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Ha fatto emergere le diseguaglianze fra gli studenti</w:t>
      </w:r>
    </w:p>
    <w:p w14:paraId="0368B1DD" w14:textId="164A4904" w:rsidR="00400FE7" w:rsidRPr="00783983" w:rsidRDefault="00400FE7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Non ha fatto emergere le disuguaglianze fra studenti</w:t>
      </w:r>
    </w:p>
    <w:p w14:paraId="3ADFDAC5" w14:textId="0DA97899" w:rsidR="00400FE7" w:rsidRPr="00783983" w:rsidRDefault="00400FE7" w:rsidP="0078398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Ha assicurato a tutti gli studenti uniformemente un</w:t>
      </w:r>
      <w:r w:rsidR="00B43D6D" w:rsidRPr="00783983">
        <w:rPr>
          <w:rFonts w:ascii="Times New Roman" w:hAnsi="Times New Roman" w:cs="Times New Roman"/>
          <w:sz w:val="24"/>
          <w:szCs w:val="24"/>
        </w:rPr>
        <w:t xml:space="preserve"> diritto all’istruzione pieno</w:t>
      </w:r>
    </w:p>
    <w:p w14:paraId="39845010" w14:textId="32FF6AE0" w:rsidR="00B43D6D" w:rsidRDefault="00783983" w:rsidP="00783983">
      <w:pPr>
        <w:pStyle w:val="Paragrafoelenco"/>
        <w:spacing w:line="36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Digital divide e minori</w:t>
      </w:r>
    </w:p>
    <w:p w14:paraId="510461B2" w14:textId="3024D1BE" w:rsidR="00783983" w:rsidRDefault="00783983" w:rsidP="00783983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F8F24F7" w14:textId="77777777" w:rsidR="00783983" w:rsidRPr="00783983" w:rsidRDefault="00783983" w:rsidP="00783983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3B9100D" w14:textId="3FFE214A" w:rsidR="00B43D6D" w:rsidRPr="00783983" w:rsidRDefault="00B43D6D" w:rsidP="0078398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La pandemia ha evidenziato come anche nell’ambito dell’istruzione ci sia</w:t>
      </w:r>
    </w:p>
    <w:p w14:paraId="54F96C3F" w14:textId="00AC6E77" w:rsidR="00B43D6D" w:rsidRPr="00783983" w:rsidRDefault="00B43D6D" w:rsidP="00783983">
      <w:pPr>
        <w:pStyle w:val="Paragrafoelenco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Un insufficiente ed eterogeneo grado di adeguamento tecnologico nelle famiglie</w:t>
      </w:r>
    </w:p>
    <w:p w14:paraId="3727FBAE" w14:textId="79D209DD" w:rsidR="00B43D6D" w:rsidRPr="00783983" w:rsidRDefault="00B43D6D" w:rsidP="00783983">
      <w:pPr>
        <w:pStyle w:val="Paragrafoelenco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Un sufficiente ed omogeneo grado di adeguamento tecnologico nelle famiglie</w:t>
      </w:r>
    </w:p>
    <w:p w14:paraId="15877A05" w14:textId="7A607176" w:rsidR="00B43D6D" w:rsidRPr="00783983" w:rsidRDefault="00B43D6D" w:rsidP="00783983">
      <w:pPr>
        <w:pStyle w:val="Paragrafoelenco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Un insufficiente ma omogeneo grado di adeguamento tecnologico nelle famiglie</w:t>
      </w:r>
    </w:p>
    <w:p w14:paraId="60EDB27A" w14:textId="77777777" w:rsidR="00B43D6D" w:rsidRPr="00783983" w:rsidRDefault="00B43D6D" w:rsidP="00783983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C685A63" w14:textId="3AB01BE3" w:rsidR="00B43D6D" w:rsidRPr="00783983" w:rsidRDefault="00B43D6D" w:rsidP="0078398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Il punto di forza della DAD è stato</w:t>
      </w:r>
    </w:p>
    <w:p w14:paraId="68511FED" w14:textId="215D4D34" w:rsidR="00B43D6D" w:rsidRPr="00783983" w:rsidRDefault="00B43D6D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Il garantire la continuità del servizio d’istruzione</w:t>
      </w:r>
    </w:p>
    <w:p w14:paraId="1367921E" w14:textId="6665C2B3" w:rsidR="00B43D6D" w:rsidRPr="00783983" w:rsidRDefault="00B43D6D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L’aver livellato le differenze sociali presenti nel paese</w:t>
      </w:r>
    </w:p>
    <w:p w14:paraId="68EB47D5" w14:textId="3E01D938" w:rsidR="00B43D6D" w:rsidRPr="00783983" w:rsidRDefault="00401F5E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L’aver consentito una riduzione delle disparità tra famiglie</w:t>
      </w:r>
    </w:p>
    <w:p w14:paraId="67F7065E" w14:textId="77777777" w:rsidR="00401F5E" w:rsidRPr="00783983" w:rsidRDefault="00401F5E" w:rsidP="00783983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807CAF4" w14:textId="60761285" w:rsidR="00401F5E" w:rsidRPr="00783983" w:rsidRDefault="00D5355E" w:rsidP="0078398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Il PNRR tenta di risolvere il problema del digital divide:</w:t>
      </w:r>
    </w:p>
    <w:p w14:paraId="2CB1547B" w14:textId="1557F6BB" w:rsidR="00D5355E" w:rsidRPr="00783983" w:rsidRDefault="00D5355E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Tramite il risanamento degli edifici scolastici, cablaggio interno ed efficientamento energetico degli stessi.</w:t>
      </w:r>
    </w:p>
    <w:p w14:paraId="6AA1123D" w14:textId="4009CF4E" w:rsidR="00D5355E" w:rsidRPr="00783983" w:rsidRDefault="00D5355E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Tramite la consegna di digital device alla popolazione scolastica</w:t>
      </w:r>
    </w:p>
    <w:p w14:paraId="5362AD5D" w14:textId="34D27BFF" w:rsidR="00D5355E" w:rsidRPr="00783983" w:rsidRDefault="00D5355E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Tramite il risanamento delle abitazioni private e il cablaggio delle stesse</w:t>
      </w:r>
    </w:p>
    <w:p w14:paraId="09EBBDD5" w14:textId="77777777" w:rsidR="00D5355E" w:rsidRPr="00783983" w:rsidRDefault="00D5355E" w:rsidP="00783983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789997F" w14:textId="06C98B03" w:rsidR="00D5355E" w:rsidRPr="00783983" w:rsidRDefault="00D5355E" w:rsidP="0078398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Nel PNRR</w:t>
      </w:r>
    </w:p>
    <w:p w14:paraId="133E324D" w14:textId="77777777" w:rsidR="00D5355E" w:rsidRPr="00783983" w:rsidRDefault="00D5355E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Non sono presenti riferimenti particolari a studenti con bisogni educativi speciali, disabilità e che vivono in zone economicamente svantaggiate</w:t>
      </w:r>
    </w:p>
    <w:p w14:paraId="541C65CD" w14:textId="35584A88" w:rsidR="00D5355E" w:rsidRPr="00783983" w:rsidRDefault="00D5355E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Sono presenti riferimenti particolari a studenti con bisogni educativi speciali, disabilità e che vivono in zone economicamente svantaggiate</w:t>
      </w:r>
    </w:p>
    <w:p w14:paraId="73ACA7E8" w14:textId="29BD571F" w:rsidR="006C3109" w:rsidRPr="00783983" w:rsidRDefault="00D5355E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Sono presenti misure particolari volte a migliorare l’andamento scolastico di studenti che non vivono in zone economicamente svantaggiate.</w:t>
      </w:r>
    </w:p>
    <w:p w14:paraId="5FC4189A" w14:textId="77777777" w:rsidR="00D5355E" w:rsidRPr="00783983" w:rsidRDefault="00D5355E" w:rsidP="00783983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5C1E00D" w14:textId="5DEE6BE5" w:rsidR="00D5355E" w:rsidRPr="00783983" w:rsidRDefault="007A244B" w:rsidP="0078398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Cos’è il Piano d’azione per l’istruzione digitale 2021-2027?</w:t>
      </w:r>
    </w:p>
    <w:p w14:paraId="1EAE2B00" w14:textId="546EC6BA" w:rsidR="007A244B" w:rsidRPr="00783983" w:rsidRDefault="007A244B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Un’iniziativa politica dell’UE volta a sostenere l’adeguamento sostenibile ed efficace dei sistemi d’istruzione e formazione degli Stati membri.</w:t>
      </w:r>
    </w:p>
    <w:p w14:paraId="248BD8A0" w14:textId="193D73EA" w:rsidR="007A244B" w:rsidRPr="00783983" w:rsidRDefault="007A244B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Una Direttiva dell’UE volta a sostenere l’adeguamento sostenibile ed efficace dei sistemi d’istruzione e formazione degli Stati membri.</w:t>
      </w:r>
    </w:p>
    <w:p w14:paraId="38CAA6F6" w14:textId="3C0ED2C4" w:rsidR="007A244B" w:rsidRPr="00783983" w:rsidRDefault="007A244B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Un Regolamento dell’UE volta a sostenere l’adeguamento sostenibile ed efficace dei sistemi d’istruzione e formazione degli Stati membri.</w:t>
      </w:r>
    </w:p>
    <w:p w14:paraId="1FB86BF7" w14:textId="77777777" w:rsidR="007A244B" w:rsidRPr="00783983" w:rsidRDefault="007A244B" w:rsidP="00783983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0B78EB4" w14:textId="74B4B5B8" w:rsidR="007A244B" w:rsidRPr="00783983" w:rsidRDefault="007A244B" w:rsidP="0078398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Le caratteristiche principali del Piano d’azione per l’istruzione digitale 2021-2027 sono:</w:t>
      </w:r>
    </w:p>
    <w:p w14:paraId="53AC5000" w14:textId="7F06FF58" w:rsidR="007A244B" w:rsidRPr="00783983" w:rsidRDefault="007A244B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 xml:space="preserve">Approccio integrato all’uso delle tecnologie digitali nell’istruzione e </w:t>
      </w:r>
      <w:r w:rsidR="002045C1" w:rsidRPr="00783983">
        <w:rPr>
          <w:rFonts w:ascii="Times New Roman" w:hAnsi="Times New Roman" w:cs="Times New Roman"/>
          <w:sz w:val="24"/>
          <w:szCs w:val="24"/>
        </w:rPr>
        <w:t>lo sviluppo delle competenze digitali</w:t>
      </w:r>
    </w:p>
    <w:p w14:paraId="4E445987" w14:textId="7C618EBD" w:rsidR="002045C1" w:rsidRPr="00783983" w:rsidRDefault="002045C1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Approccio integrato all’uso della didattica tradizionale nell’istruzione e lo sviluppo delle competenze individuali</w:t>
      </w:r>
    </w:p>
    <w:p w14:paraId="4A7EC0AA" w14:textId="2E581A76" w:rsidR="002045C1" w:rsidRPr="00783983" w:rsidRDefault="002045C1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Approccio integrato all’uso delle tecnologie digitali nel lavoro e lo sviluppo delle competenze professionali</w:t>
      </w:r>
    </w:p>
    <w:p w14:paraId="04FBE056" w14:textId="1F625EF3" w:rsidR="002045C1" w:rsidRPr="00783983" w:rsidRDefault="002045C1" w:rsidP="00783983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BE150CB" w14:textId="77777777" w:rsidR="002045C1" w:rsidRPr="00783983" w:rsidRDefault="002045C1" w:rsidP="00783983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5BD6853" w14:textId="2D75AF76" w:rsidR="002045C1" w:rsidRPr="00783983" w:rsidRDefault="002045C1" w:rsidP="0078398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Quali sono le priorità strategiche del Piano d’azione per l’istruzione digitale 2021-2027:</w:t>
      </w:r>
    </w:p>
    <w:p w14:paraId="16D90A07" w14:textId="2EFD1259" w:rsidR="002045C1" w:rsidRPr="00783983" w:rsidRDefault="0058133E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Sviluppare un ecosistema efficiente di istruzione digitale, migliorare le competenze e le abilità digitali per la trasformazione digitale</w:t>
      </w:r>
    </w:p>
    <w:p w14:paraId="775E55EC" w14:textId="6B6FEBF3" w:rsidR="0058133E" w:rsidRPr="00783983" w:rsidRDefault="0058133E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Sviluppare un ecosistema efficiente di istruzione tradizionale, migliorare le competenze e le abilità didattiche per la trasformazione professionale</w:t>
      </w:r>
    </w:p>
    <w:p w14:paraId="7F0E098E" w14:textId="2EFD2BD1" w:rsidR="00887648" w:rsidRPr="00783983" w:rsidRDefault="0058133E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 xml:space="preserve">Sviluppare un ecosistema efficiente di istruzione digitale, migliorare le capacità e le abilità di </w:t>
      </w:r>
      <w:r w:rsidRPr="00783983">
        <w:rPr>
          <w:rFonts w:ascii="Times New Roman" w:hAnsi="Times New Roman" w:cs="Times New Roman"/>
          <w:i/>
          <w:iCs/>
          <w:sz w:val="24"/>
          <w:szCs w:val="24"/>
        </w:rPr>
        <w:t>service</w:t>
      </w:r>
      <w:r w:rsidRPr="00783983">
        <w:rPr>
          <w:rFonts w:ascii="Times New Roman" w:hAnsi="Times New Roman" w:cs="Times New Roman"/>
          <w:sz w:val="24"/>
          <w:szCs w:val="24"/>
        </w:rPr>
        <w:t xml:space="preserve"> per la trasformazione scolastica</w:t>
      </w:r>
    </w:p>
    <w:p w14:paraId="4186C91E" w14:textId="77777777" w:rsidR="0058133E" w:rsidRPr="00783983" w:rsidRDefault="0058133E" w:rsidP="00783983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9BE277A" w14:textId="2E3906B9" w:rsidR="0058133E" w:rsidRPr="00783983" w:rsidRDefault="0058133E" w:rsidP="0078398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Al fine di raggiungere tutti gli obiettivi previsti nel Piano d’azione per l’istruzione digitale 2021-2027, è prevista:</w:t>
      </w:r>
    </w:p>
    <w:p w14:paraId="5CC3AADE" w14:textId="220ED5E2" w:rsidR="0058133E" w:rsidRPr="00783983" w:rsidRDefault="0058133E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Un’azione sinergica fra tutti gli attori che contribuiscono allo sviluppo e al progresso del processo d’istruzione in Europa</w:t>
      </w:r>
    </w:p>
    <w:p w14:paraId="1FCDD94E" w14:textId="553EA2CA" w:rsidR="0058133E" w:rsidRPr="00783983" w:rsidRDefault="0058133E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Un’azione sinergica fra tutti gli</w:t>
      </w:r>
      <w:r w:rsidRPr="00783983">
        <w:rPr>
          <w:rFonts w:ascii="Times New Roman" w:hAnsi="Times New Roman" w:cs="Times New Roman"/>
          <w:i/>
          <w:iCs/>
          <w:sz w:val="24"/>
          <w:szCs w:val="24"/>
        </w:rPr>
        <w:t xml:space="preserve"> stakeholders </w:t>
      </w:r>
      <w:r w:rsidRPr="00783983">
        <w:rPr>
          <w:rFonts w:ascii="Times New Roman" w:hAnsi="Times New Roman" w:cs="Times New Roman"/>
          <w:sz w:val="24"/>
          <w:szCs w:val="24"/>
        </w:rPr>
        <w:t>che contribuiscono al progresso in Europa</w:t>
      </w:r>
    </w:p>
    <w:p w14:paraId="37F9E669" w14:textId="74088AE1" w:rsidR="00520BD2" w:rsidRPr="00783983" w:rsidRDefault="0058133E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 xml:space="preserve">Un’azione </w:t>
      </w:r>
      <w:r w:rsidR="00520BD2" w:rsidRPr="00783983">
        <w:rPr>
          <w:rFonts w:ascii="Times New Roman" w:hAnsi="Times New Roman" w:cs="Times New Roman"/>
          <w:sz w:val="24"/>
          <w:szCs w:val="24"/>
        </w:rPr>
        <w:t>a-sincrona</w:t>
      </w:r>
      <w:r w:rsidRPr="00783983">
        <w:rPr>
          <w:rFonts w:ascii="Times New Roman" w:hAnsi="Times New Roman" w:cs="Times New Roman"/>
          <w:sz w:val="24"/>
          <w:szCs w:val="24"/>
        </w:rPr>
        <w:t xml:space="preserve"> fra tutti gli attori che contribuiscono allo sviluppo e al progresso del processo d’istruzione in Europa</w:t>
      </w:r>
    </w:p>
    <w:p w14:paraId="06C4BF0C" w14:textId="77777777" w:rsidR="00520BD2" w:rsidRPr="00783983" w:rsidRDefault="00520BD2" w:rsidP="00783983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56CA526" w14:textId="48BD0A64" w:rsidR="00520BD2" w:rsidRPr="00783983" w:rsidRDefault="000B723A" w:rsidP="0078398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Fra le azioni prioritarie dell’UE per il miglioramento dell’istruzione in Europa vi è</w:t>
      </w:r>
    </w:p>
    <w:p w14:paraId="174468A9" w14:textId="391B7CE3" w:rsidR="000B723A" w:rsidRPr="00783983" w:rsidRDefault="008B2DFB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Lo sviluppo di linee guida etiche sull’intelligenza artificiale e sull’utilizzo dei dati nell’insegnamento e nell’apprendimento</w:t>
      </w:r>
    </w:p>
    <w:p w14:paraId="6E92E701" w14:textId="59FD4FA8" w:rsidR="008B2DFB" w:rsidRPr="00783983" w:rsidRDefault="008B2DFB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Lo sviluppo di un quadro europeo per i contenuti digitali</w:t>
      </w:r>
    </w:p>
    <w:p w14:paraId="383C5940" w14:textId="2D26AA0D" w:rsidR="008B2DFB" w:rsidRPr="00783983" w:rsidRDefault="008B2DFB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Lo sviluppo di linee guida filosofiche sull’utilizzo dei dati nell’apprendimento ma non nell’insegnamento</w:t>
      </w:r>
    </w:p>
    <w:p w14:paraId="3F56704B" w14:textId="77777777" w:rsidR="008B2DFB" w:rsidRPr="00783983" w:rsidRDefault="008B2DFB" w:rsidP="00783983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46A4D5C" w14:textId="5DBBFC24" w:rsidR="008B2DFB" w:rsidRPr="00783983" w:rsidRDefault="008B2DFB" w:rsidP="0078398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lastRenderedPageBreak/>
        <w:t>L’alfabetizzazione digitale e la sua promozione</w:t>
      </w:r>
    </w:p>
    <w:p w14:paraId="444E5CA9" w14:textId="183BF464" w:rsidR="008B2DFB" w:rsidRPr="00783983" w:rsidRDefault="008B2DFB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Rientrano fra le azioni della seconda priorità del Piano d’azione per l’istruzione digitale 2021-2027</w:t>
      </w:r>
    </w:p>
    <w:p w14:paraId="32B8CF96" w14:textId="03AD3754" w:rsidR="008B2DFB" w:rsidRPr="00783983" w:rsidRDefault="008B2DFB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Non rientrano fra le azioni della seconda priorità del Piano d’azione per l’istruzione digitale 2021-2027</w:t>
      </w:r>
    </w:p>
    <w:p w14:paraId="4F1B5334" w14:textId="7B892EF2" w:rsidR="008B2DFB" w:rsidRPr="00783983" w:rsidRDefault="008B2DFB" w:rsidP="00783983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sz w:val="24"/>
          <w:szCs w:val="24"/>
        </w:rPr>
        <w:t>Rientrano fra le azioni della prima priorità del Piano d’azione per l’istruzione digitale 2021-2027</w:t>
      </w:r>
    </w:p>
    <w:sectPr w:rsidR="008B2DFB" w:rsidRPr="00783983" w:rsidSect="00053E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0A8A"/>
    <w:multiLevelType w:val="hybridMultilevel"/>
    <w:tmpl w:val="1D6649A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6191F"/>
    <w:multiLevelType w:val="hybridMultilevel"/>
    <w:tmpl w:val="153CF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E7416"/>
    <w:multiLevelType w:val="hybridMultilevel"/>
    <w:tmpl w:val="DA42B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A8442B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366142">
    <w:abstractNumId w:val="2"/>
  </w:num>
  <w:num w:numId="2" w16cid:durableId="768542673">
    <w:abstractNumId w:val="0"/>
  </w:num>
  <w:num w:numId="3" w16cid:durableId="915937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E5"/>
    <w:rsid w:val="00053EF0"/>
    <w:rsid w:val="000666BF"/>
    <w:rsid w:val="000B723A"/>
    <w:rsid w:val="00173E84"/>
    <w:rsid w:val="002045C1"/>
    <w:rsid w:val="00400FE7"/>
    <w:rsid w:val="00401F5E"/>
    <w:rsid w:val="00520BD2"/>
    <w:rsid w:val="005320B3"/>
    <w:rsid w:val="0058133E"/>
    <w:rsid w:val="005B4113"/>
    <w:rsid w:val="00616AF6"/>
    <w:rsid w:val="006C3109"/>
    <w:rsid w:val="00783983"/>
    <w:rsid w:val="007A244B"/>
    <w:rsid w:val="008151CD"/>
    <w:rsid w:val="00856FBF"/>
    <w:rsid w:val="008B2DFB"/>
    <w:rsid w:val="009637D6"/>
    <w:rsid w:val="009A37FC"/>
    <w:rsid w:val="00B2784D"/>
    <w:rsid w:val="00B43D6D"/>
    <w:rsid w:val="00BA75E5"/>
    <w:rsid w:val="00C46CBC"/>
    <w:rsid w:val="00D10BFE"/>
    <w:rsid w:val="00D5355E"/>
    <w:rsid w:val="00E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B256"/>
  <w15:chartTrackingRefBased/>
  <w15:docId w15:val="{1C0D9CD1-17E7-2045-951D-F61E6ED7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6AF6"/>
    <w:rPr>
      <w:rFonts w:ascii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articoliTimes">
    <w:name w:val="Stile articoli Times"/>
    <w:basedOn w:val="Testonotaapidipagina"/>
    <w:autoRedefine/>
    <w:rsid w:val="00B2784D"/>
    <w:pPr>
      <w:spacing w:before="120" w:after="120"/>
      <w:jc w:val="both"/>
    </w:pPr>
    <w:rPr>
      <w:rFonts w:ascii="Times New Roman" w:hAnsi="Times New Roman"/>
      <w:sz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784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784D"/>
    <w:rPr>
      <w:sz w:val="20"/>
      <w:szCs w:val="20"/>
    </w:rPr>
  </w:style>
  <w:style w:type="paragraph" w:styleId="Pidipagina">
    <w:name w:val="footer"/>
    <w:aliases w:val="Piè di pagina De Iustitia"/>
    <w:basedOn w:val="Normale"/>
    <w:link w:val="PidipaginaCarattere"/>
    <w:uiPriority w:val="99"/>
    <w:unhideWhenUsed/>
    <w:rsid w:val="009637D6"/>
    <w:pPr>
      <w:tabs>
        <w:tab w:val="center" w:pos="4819"/>
        <w:tab w:val="right" w:pos="9638"/>
      </w:tabs>
      <w:jc w:val="both"/>
    </w:pPr>
    <w:rPr>
      <w:rFonts w:ascii="Tahoma" w:hAnsi="Tahoma"/>
      <w:color w:val="000000" w:themeColor="text1"/>
      <w:sz w:val="18"/>
    </w:rPr>
  </w:style>
  <w:style w:type="character" w:customStyle="1" w:styleId="PidipaginaCarattere">
    <w:name w:val="Piè di pagina Carattere"/>
    <w:aliases w:val="Piè di pagina De Iustitia Carattere"/>
    <w:basedOn w:val="Carpredefinitoparagrafo"/>
    <w:link w:val="Pidipagina"/>
    <w:uiPriority w:val="99"/>
    <w:rsid w:val="009637D6"/>
    <w:rPr>
      <w:rFonts w:ascii="Tahoma" w:hAnsi="Tahoma"/>
      <w:color w:val="000000" w:themeColor="text1"/>
      <w:sz w:val="18"/>
    </w:rPr>
  </w:style>
  <w:style w:type="paragraph" w:styleId="Paragrafoelenco">
    <w:name w:val="List Paragraph"/>
    <w:basedOn w:val="Normale"/>
    <w:uiPriority w:val="34"/>
    <w:qFormat/>
    <w:rsid w:val="00BA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Arganelli</dc:creator>
  <cp:keywords/>
  <dc:description/>
  <cp:lastModifiedBy>andrea napolitano</cp:lastModifiedBy>
  <cp:revision>14</cp:revision>
  <dcterms:created xsi:type="dcterms:W3CDTF">2022-11-29T10:54:00Z</dcterms:created>
  <dcterms:modified xsi:type="dcterms:W3CDTF">2022-12-02T08:03:00Z</dcterms:modified>
</cp:coreProperties>
</file>