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9C" w:rsidRPr="0043089C" w:rsidRDefault="0043089C" w:rsidP="0043089C">
      <w:pPr>
        <w:jc w:val="center"/>
        <w:rPr>
          <w:rFonts w:ascii="Times New Roman" w:hAnsi="Times New Roman" w:cs="Times New Roman"/>
          <w:smallCaps/>
          <w:sz w:val="28"/>
          <w:szCs w:val="28"/>
        </w:rPr>
      </w:pPr>
      <w:r w:rsidRPr="0043089C">
        <w:rPr>
          <w:rFonts w:ascii="Times New Roman" w:hAnsi="Times New Roman" w:cs="Times New Roman"/>
          <w:smallCaps/>
          <w:sz w:val="28"/>
          <w:szCs w:val="28"/>
        </w:rPr>
        <w:t>Estratto dal Piano nazionale di ripresa e resilienza italiano in materia di energia e mobilità sostenibili</w:t>
      </w:r>
    </w:p>
    <w:p w:rsidR="0043089C" w:rsidRDefault="0043089C" w:rsidP="0043089C">
      <w:pPr>
        <w:jc w:val="both"/>
        <w:rPr>
          <w:rFonts w:ascii="Times New Roman" w:hAnsi="Times New Roman" w:cs="Times New Roman"/>
          <w:sz w:val="24"/>
          <w:szCs w:val="24"/>
        </w:rPr>
      </w:pP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pandemia di Covid-19 ha colpito l’economia italiana più di altri Paesi europei. Nel 2020, il prodotto interno lordo si è ridotto dell’8,9 per cento, a fronte di un calo nell’Unione Europea del 6,2. L’Italia è stata colpita prima e più duramente dalla crisi sanitaria. Le prime chiusure locali sono state disposte a febbraio 2020, e a marzo l’Italia è stata il primo Paese dell’UE a dover imporre un </w:t>
      </w:r>
      <w:proofErr w:type="spellStart"/>
      <w:r w:rsidRPr="0043089C">
        <w:rPr>
          <w:rFonts w:ascii="Times New Roman" w:hAnsi="Times New Roman" w:cs="Times New Roman"/>
          <w:i/>
          <w:iCs/>
          <w:sz w:val="24"/>
          <w:szCs w:val="24"/>
        </w:rPr>
        <w:t>lockdown</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generalizzato. Ad oggi risultano registrati quasi 120.000 decessi dovuti al Covid-19, che rendono l’Italia il Paese che ha subito la maggior perdita di vite nell’UE. </w:t>
      </w:r>
    </w:p>
    <w:p w:rsidR="00C87E39"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La crisi si è abbattuta su un Paese già fragile dal punto di vista economico, sociale ed ambientale. Tra il 1999 e il 2019, il Pil in Italia è cresciuto in totale del 7,9 per cento. Nello stesso periodo in Germania, Francia e Spagna, l’aumento è stato rispettivamente del 30,2, del 32,4 e del 43,6 per cento. Tra il 2005 e il 2019, il numero di persone sotto la soglia di povertà assoluta è salito dal 3,3 per cento al 7,7 per cento della popolazione – prima di aumentare ulteriormente nel 2020 fino al 9,4 per cento.</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L’Unione Europea ha risposto alla crisi pandemica con il </w:t>
      </w:r>
      <w:proofErr w:type="spellStart"/>
      <w:r w:rsidRPr="0043089C">
        <w:rPr>
          <w:rFonts w:ascii="Times New Roman" w:hAnsi="Times New Roman" w:cs="Times New Roman"/>
          <w:sz w:val="24"/>
          <w:szCs w:val="24"/>
        </w:rPr>
        <w:t>Next</w:t>
      </w:r>
      <w:proofErr w:type="spellEnd"/>
      <w:r w:rsidRPr="0043089C">
        <w:rPr>
          <w:rFonts w:ascii="Times New Roman" w:hAnsi="Times New Roman" w:cs="Times New Roman"/>
          <w:sz w:val="24"/>
          <w:szCs w:val="24"/>
        </w:rPr>
        <w:t xml:space="preserve"> Generation EU (NGEU). È un programma di portata e ambizione inedite, che prevede investimenti e riforme per accelerare la transizione ecologica e digitale; migliorare la formazione delle lavoratrici e dei lavoratori; e conseguire una maggiore equità di genere, territoriale e generazionale. </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l’Italia il NGEU rappresenta un’opportunità imperdibile di sviluppo, investimenti e riforme. L’Italia deve modernizzare la sua pubblica amministrazione, rafforzare il suo sistema produttivo e intensificare gli sforzi nel contrasto alla povertà, all’esclusione sociale e alle disuguaglianze. Il NGEU può essere l’occasione per riprendere un percorso di crescita economica sostenibile e duraturo rimuovendo gli ostacoli che hanno bloccato la crescita italiana negli ultimi decenni. </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L’Italia è la prima beneficiaria, in valore assoluto, dei due principali strumenti del NGEU: il Dispositivo per la Ripresa e Resilienza (RRF) e il Pacchetto di Assistenza alla Ripresa per la Coesione e i Territori d’Europa (REACT-EU). Il solo RRF garantisce risorse per 191,5 miliardi di euro, da impiegare nel periodo 2021-2026, delle quali 68,9 miliardi sono sovvenzioni a fondo perduto. L’Italia intende inoltre utilizzare appieno la propria capacità di finanziamento tramite i prestiti della RRF, che per il nostro Paese è stimata in 122,6 miliardi.</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dispositivo RRF richiede agli Stati membri di presentare un pacchetto di investimenti e riforme: il Piano Nazionale di Ripresa e Resilienza (PNRR). Questo Piano, che si articola in sei Missioni e 16 Componenti, beneficia della stretta interlocuzione avvenuta in questi mesi con il Parlamento e con la Commissione Europea, sulla base del Regolamento RRF. </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Le sei Missioni del Piano sono: digitalizzazione, innovazione, competitività, cultura e turismo; rivoluzione verde e transizione ecologica; infrastrutture per una mobilità </w:t>
      </w:r>
      <w:r w:rsidRPr="0043089C">
        <w:rPr>
          <w:rFonts w:ascii="Times New Roman" w:hAnsi="Times New Roman" w:cs="Times New Roman"/>
          <w:sz w:val="24"/>
          <w:szCs w:val="24"/>
        </w:rPr>
        <w:lastRenderedPageBreak/>
        <w:t>sostenibile; istruzione e ricerca; inclusione e coesione; salute. Il Piano è in piena coerenza con i sei pilastri del NGEU e soddisfa largamente i parametri fissati dai regolamenti europei sulle quote di progetti “verdi” e digitali.</w:t>
      </w:r>
    </w:p>
    <w:p w:rsidR="003F1675" w:rsidRPr="0043089C" w:rsidRDefault="003F1675"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PNRR è parte di una più ampia e ambiziosa strategia per l’ammodernamento del Paese. Il Governo intende aggiornare le strategie nazionali in tema di sviluppo e mobilità sostenibile; ambiente e clima; idrogeno; </w:t>
      </w:r>
      <w:proofErr w:type="spellStart"/>
      <w:r w:rsidRPr="0043089C">
        <w:rPr>
          <w:rFonts w:ascii="Times New Roman" w:hAnsi="Times New Roman" w:cs="Times New Roman"/>
          <w:sz w:val="24"/>
          <w:szCs w:val="24"/>
        </w:rPr>
        <w:t>automotive</w:t>
      </w:r>
      <w:proofErr w:type="spellEnd"/>
      <w:r w:rsidRPr="0043089C">
        <w:rPr>
          <w:rFonts w:ascii="Times New Roman" w:hAnsi="Times New Roman" w:cs="Times New Roman"/>
          <w:sz w:val="24"/>
          <w:szCs w:val="24"/>
        </w:rPr>
        <w:t>; filiera della salute.</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Di seguito si illustrerà il contenuto del PNRR in relazione alla Missione 2 (rivoluzione verde e transizione ecologica), con particolare riferimento ad alcune azioni specifiche in materia di energia e di mobilità sostenibile.</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Con l’accordo di Parigi, i Paesi di tutto il mondo si sono impegnati a limitare il riscaldamento globale a 2°</w:t>
      </w:r>
      <w:proofErr w:type="gramStart"/>
      <w:r w:rsidRPr="0043089C">
        <w:rPr>
          <w:rFonts w:ascii="Times New Roman" w:hAnsi="Times New Roman" w:cs="Times New Roman"/>
          <w:sz w:val="24"/>
          <w:szCs w:val="24"/>
        </w:rPr>
        <w:t>C ,</w:t>
      </w:r>
      <w:proofErr w:type="gramEnd"/>
      <w:r w:rsidRPr="0043089C">
        <w:rPr>
          <w:rFonts w:ascii="Times New Roman" w:hAnsi="Times New Roman" w:cs="Times New Roman"/>
          <w:sz w:val="24"/>
          <w:szCs w:val="24"/>
        </w:rPr>
        <w:t xml:space="preserve"> facendo il possibile per limitarlo a 1,5° C, rispetto ai livelli preindustriali. Per raggiungere questo obiettivo, l’Unione Europea attraverso lo </w:t>
      </w:r>
      <w:proofErr w:type="spellStart"/>
      <w:r w:rsidRPr="0043089C">
        <w:rPr>
          <w:rFonts w:ascii="Times New Roman" w:hAnsi="Times New Roman" w:cs="Times New Roman"/>
          <w:i/>
          <w:iCs/>
          <w:sz w:val="24"/>
          <w:szCs w:val="24"/>
        </w:rPr>
        <w:t>European</w:t>
      </w:r>
      <w:proofErr w:type="spellEnd"/>
      <w:r w:rsidRPr="0043089C">
        <w:rPr>
          <w:rFonts w:ascii="Times New Roman" w:hAnsi="Times New Roman" w:cs="Times New Roman"/>
          <w:i/>
          <w:iCs/>
          <w:sz w:val="24"/>
          <w:szCs w:val="24"/>
        </w:rPr>
        <w:t xml:space="preserve"> Green Deal </w:t>
      </w:r>
      <w:r w:rsidRPr="0043089C">
        <w:rPr>
          <w:rFonts w:ascii="Times New Roman" w:hAnsi="Times New Roman" w:cs="Times New Roman"/>
          <w:sz w:val="24"/>
          <w:szCs w:val="24"/>
        </w:rPr>
        <w:t xml:space="preserve">(COM/2019/640 </w:t>
      </w:r>
      <w:proofErr w:type="spellStart"/>
      <w:r w:rsidRPr="0043089C">
        <w:rPr>
          <w:rFonts w:ascii="Times New Roman" w:hAnsi="Times New Roman" w:cs="Times New Roman"/>
          <w:sz w:val="24"/>
          <w:szCs w:val="24"/>
        </w:rPr>
        <w:t>final</w:t>
      </w:r>
      <w:proofErr w:type="spellEnd"/>
      <w:r w:rsidRPr="0043089C">
        <w:rPr>
          <w:rFonts w:ascii="Times New Roman" w:hAnsi="Times New Roman" w:cs="Times New Roman"/>
          <w:sz w:val="24"/>
          <w:szCs w:val="24"/>
        </w:rPr>
        <w:t>) ha definito nuovi obiettivi energetici e climatici estremamente ambiziosi che richiederanno la riduzione dei gas climalteranti (</w:t>
      </w:r>
      <w:r w:rsidRPr="0043089C">
        <w:rPr>
          <w:rFonts w:ascii="Times New Roman" w:hAnsi="Times New Roman" w:cs="Times New Roman"/>
          <w:i/>
          <w:iCs/>
          <w:sz w:val="24"/>
          <w:szCs w:val="24"/>
        </w:rPr>
        <w:t xml:space="preserve">Green House </w:t>
      </w:r>
      <w:proofErr w:type="spellStart"/>
      <w:r w:rsidRPr="0043089C">
        <w:rPr>
          <w:rFonts w:ascii="Times New Roman" w:hAnsi="Times New Roman" w:cs="Times New Roman"/>
          <w:i/>
          <w:iCs/>
          <w:sz w:val="24"/>
          <w:szCs w:val="24"/>
        </w:rPr>
        <w:t>Gases</w:t>
      </w:r>
      <w:proofErr w:type="spellEnd"/>
      <w:r w:rsidRPr="0043089C">
        <w:rPr>
          <w:rFonts w:ascii="Times New Roman" w:hAnsi="Times New Roman" w:cs="Times New Roman"/>
          <w:sz w:val="24"/>
          <w:szCs w:val="24"/>
        </w:rPr>
        <w:t>, GHG) al 55 per cento nel 2030 e alla neutralità climatica nel 2050. La Comunicazione, come noto, è in via di traduzione legislativa nel pacchetto “</w:t>
      </w:r>
      <w:proofErr w:type="spellStart"/>
      <w:r w:rsidRPr="0043089C">
        <w:rPr>
          <w:rFonts w:ascii="Times New Roman" w:hAnsi="Times New Roman" w:cs="Times New Roman"/>
          <w:i/>
          <w:iCs/>
          <w:sz w:val="24"/>
          <w:szCs w:val="24"/>
        </w:rPr>
        <w:t>Fit</w:t>
      </w:r>
      <w:proofErr w:type="spellEnd"/>
      <w:r w:rsidRPr="0043089C">
        <w:rPr>
          <w:rFonts w:ascii="Times New Roman" w:hAnsi="Times New Roman" w:cs="Times New Roman"/>
          <w:i/>
          <w:iCs/>
          <w:sz w:val="24"/>
          <w:szCs w:val="24"/>
        </w:rPr>
        <w:t xml:space="preserve"> for 55</w:t>
      </w:r>
      <w:r w:rsidRPr="0043089C">
        <w:rPr>
          <w:rFonts w:ascii="Times New Roman" w:hAnsi="Times New Roman" w:cs="Times New Roman"/>
          <w:sz w:val="24"/>
          <w:szCs w:val="24"/>
        </w:rPr>
        <w:t xml:space="preserve">” ed è stato anticipato dalla </w:t>
      </w:r>
      <w:r w:rsidRPr="0043089C">
        <w:rPr>
          <w:rFonts w:ascii="Times New Roman" w:hAnsi="Times New Roman" w:cs="Times New Roman"/>
          <w:i/>
          <w:iCs/>
          <w:sz w:val="24"/>
          <w:szCs w:val="24"/>
        </w:rPr>
        <w:t xml:space="preserve">Energy </w:t>
      </w:r>
      <w:proofErr w:type="spellStart"/>
      <w:r w:rsidRPr="0043089C">
        <w:rPr>
          <w:rFonts w:ascii="Times New Roman" w:hAnsi="Times New Roman" w:cs="Times New Roman"/>
          <w:i/>
          <w:iCs/>
          <w:sz w:val="24"/>
          <w:szCs w:val="24"/>
        </w:rPr>
        <w:t>transition</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strategy</w:t>
      </w:r>
      <w:proofErr w:type="spellEnd"/>
      <w:r w:rsidRPr="0043089C">
        <w:rPr>
          <w:rFonts w:ascii="Times New Roman" w:hAnsi="Times New Roman" w:cs="Times New Roman"/>
          <w:sz w:val="24"/>
          <w:szCs w:val="24"/>
        </w:rPr>
        <w:t xml:space="preserve">, con la quale le misure qui contenute sono coerenti.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L’Italia è stato uno dei Paesi pionieri e promotori delle politiche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lanciando numerose misure che hanno stimolato investimenti importanti (si pensi alle politiche a favore dello sviluppo rinnovabili o dell’efficienza energetica). Il PNIEC22 in vigore, attualmente in fase di aggiornamento (e rafforzamento) per riflettere il nuovo livello di ambizione definito in ambito europeo, così come la Strategia di Lungo Termine già forniscono un importante inquadramento strategico per l’evoluzione del sistema, con il quale le misure di questa Componente sono in piena coerenza.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Nel periodo 1990-2019, le emissioni totali di gas serra in Italia si sono ridotte del 19% (</w:t>
      </w:r>
      <w:r w:rsidRPr="0043089C">
        <w:rPr>
          <w:rFonts w:ascii="Times New Roman" w:hAnsi="Times New Roman" w:cs="Times New Roman"/>
          <w:i/>
          <w:iCs/>
          <w:sz w:val="24"/>
          <w:szCs w:val="24"/>
        </w:rPr>
        <w:t xml:space="preserve">Total CO2 </w:t>
      </w:r>
      <w:proofErr w:type="spellStart"/>
      <w:r w:rsidRPr="0043089C">
        <w:rPr>
          <w:rFonts w:ascii="Times New Roman" w:hAnsi="Times New Roman" w:cs="Times New Roman"/>
          <w:i/>
          <w:iCs/>
          <w:sz w:val="24"/>
          <w:szCs w:val="24"/>
        </w:rPr>
        <w:t>equivalent</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emissions</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without</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land</w:t>
      </w:r>
      <w:proofErr w:type="spellEnd"/>
      <w:r w:rsidRPr="0043089C">
        <w:rPr>
          <w:rFonts w:ascii="Times New Roman" w:hAnsi="Times New Roman" w:cs="Times New Roman"/>
          <w:i/>
          <w:iCs/>
          <w:sz w:val="24"/>
          <w:szCs w:val="24"/>
        </w:rPr>
        <w:t xml:space="preserve"> use, </w:t>
      </w:r>
      <w:proofErr w:type="spellStart"/>
      <w:r w:rsidRPr="0043089C">
        <w:rPr>
          <w:rFonts w:ascii="Times New Roman" w:hAnsi="Times New Roman" w:cs="Times New Roman"/>
          <w:i/>
          <w:iCs/>
          <w:sz w:val="24"/>
          <w:szCs w:val="24"/>
        </w:rPr>
        <w:t>land</w:t>
      </w:r>
      <w:proofErr w:type="spellEnd"/>
      <w:r w:rsidRPr="0043089C">
        <w:rPr>
          <w:rFonts w:ascii="Times New Roman" w:hAnsi="Times New Roman" w:cs="Times New Roman"/>
          <w:i/>
          <w:iCs/>
          <w:sz w:val="24"/>
          <w:szCs w:val="24"/>
        </w:rPr>
        <w:t xml:space="preserve">-use </w:t>
      </w:r>
      <w:proofErr w:type="spellStart"/>
      <w:r w:rsidRPr="0043089C">
        <w:rPr>
          <w:rFonts w:ascii="Times New Roman" w:hAnsi="Times New Roman" w:cs="Times New Roman"/>
          <w:i/>
          <w:iCs/>
          <w:sz w:val="24"/>
          <w:szCs w:val="24"/>
        </w:rPr>
        <w:t>change</w:t>
      </w:r>
      <w:proofErr w:type="spellEnd"/>
      <w:r w:rsidRPr="0043089C">
        <w:rPr>
          <w:rFonts w:ascii="Times New Roman" w:hAnsi="Times New Roman" w:cs="Times New Roman"/>
          <w:i/>
          <w:iCs/>
          <w:sz w:val="24"/>
          <w:szCs w:val="24"/>
        </w:rPr>
        <w:t xml:space="preserve"> and </w:t>
      </w:r>
      <w:proofErr w:type="spellStart"/>
      <w:r w:rsidRPr="0043089C">
        <w:rPr>
          <w:rFonts w:ascii="Times New Roman" w:hAnsi="Times New Roman" w:cs="Times New Roman"/>
          <w:i/>
          <w:iCs/>
          <w:sz w:val="24"/>
          <w:szCs w:val="24"/>
        </w:rPr>
        <w:t>forestry</w:t>
      </w:r>
      <w:proofErr w:type="spellEnd"/>
      <w:r w:rsidRPr="0043089C">
        <w:rPr>
          <w:rFonts w:ascii="Times New Roman" w:hAnsi="Times New Roman" w:cs="Times New Roman"/>
          <w:sz w:val="24"/>
          <w:szCs w:val="24"/>
        </w:rPr>
        <w:t xml:space="preserve">), passando da 519 Mt CO2eq a 418 Mt CO2eq. Di queste le emissioni del settore delle industrie energetiche rappresentano circa il 22%, quelle delle industrie manifatturiere il 12% con riferimento ai consumi energetici e il l’8% con riferimento ai processi industriali, quelle dei trasporti il 25%, mentre quelle del civile (residenziale, servizi e consumi energetici agricoltura) rappresentano il 19% circa. Non vanno peraltro trascurate le emissioni prodotte dai rifiuti (4%) e quelle prodotte da coltivazioni ed allevamenti (7%), dal momento che queste ultime sono caratterizzati da riduzioni piuttosto contenute.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suddetta riduzione rappresenta un risultato importante, ma ancora lontano dagli obiettivi 2030 e 2050 per raggiungere i nuovi target del PNIEC in corso di aggiornamento.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L'obiettivo di questa componente è di contribuire al raggiungimento degli obiettivi strategici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attraverso cinque linee di riforme e investimenti, concentrate nei primi tre settori.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lastRenderedPageBreak/>
        <w:t xml:space="preserve">La prima linea di investimento ha come obiettivo l’incremento della quota di energie rinnovabili. L’attuale target italiano per il 2030 è pari al 30 per cento dei consumi finali, rispetto al 20 per cento stimato preliminarmente per il 2020. Per raggiungere questo obiettivo l’Italia può fare leva sull’abbondanza di risorsa rinnovabile a disposizione e su tecnologie prevalentemente mature, e nell’ambito degli interventi di questa Componente del PNRR: i) sbloccando il potenziale di impianti </w:t>
      </w:r>
      <w:r w:rsidRPr="0043089C">
        <w:rPr>
          <w:rFonts w:ascii="Times New Roman" w:hAnsi="Times New Roman" w:cs="Times New Roman"/>
          <w:i/>
          <w:iCs/>
          <w:sz w:val="24"/>
          <w:szCs w:val="24"/>
        </w:rPr>
        <w:t>utility-scale</w:t>
      </w:r>
      <w:r w:rsidRPr="0043089C">
        <w:rPr>
          <w:rFonts w:ascii="Times New Roman" w:hAnsi="Times New Roman" w:cs="Times New Roman"/>
          <w:sz w:val="24"/>
          <w:szCs w:val="24"/>
        </w:rPr>
        <w:t xml:space="preserve">, in molti casi già competitivi in termini di costo rispetto alle fonti fossili ma che richiedono </w:t>
      </w:r>
      <w:r w:rsidRPr="0043089C">
        <w:rPr>
          <w:rFonts w:ascii="Times New Roman" w:hAnsi="Times New Roman" w:cs="Times New Roman"/>
          <w:i/>
          <w:iCs/>
          <w:sz w:val="24"/>
          <w:szCs w:val="24"/>
        </w:rPr>
        <w:t xml:space="preserve">in primis </w:t>
      </w:r>
      <w:r w:rsidRPr="0043089C">
        <w:rPr>
          <w:rFonts w:ascii="Times New Roman" w:hAnsi="Times New Roman" w:cs="Times New Roman"/>
          <w:sz w:val="24"/>
          <w:szCs w:val="24"/>
        </w:rPr>
        <w:t xml:space="preserve">riforme dei meccanismi autorizzativi e delle regole di mercato per raggiungere il pieno potenziale, e valorizzando lo sviluppo di opportunità agro-voltaiche; ii) accelerando lo sviluppo di comunità energetiche e sistemi distribuiti di piccola taglia, particolarmente rilevanti in un Paese che sconta molte limitazioni nella disponibilità e utilizzo di grandi terreni ai fini energetici; iii) incoraggiando lo sviluppo di soluzioni innovative, incluse soluzioni integrate e offshore; iv) rafforzando lo sviluppo del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abilitare e accogliere l'aumento di produzione da fonti rinnovabili, ma anche per aumentarne la resilienza a fenomeni climatici estremi sempre più frequenti, la seconda linea di intervento ha l’obiettivo di potenziare (aumento della capacità per 6GW, miglioramento della resilienza di 4.000 km della rete elettrica) e digitalizzare le infrastrutture di rete.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Un ruolo rilevante all’interno della terza linea progettuale è riservato all'idrogeno. Nel luglio 2020 la Strategia europea sull'idrogeno23 ha previsto una forte crescita dell’idrogeno verde nel mix energetico, per far fronte alle esigenze di progressiva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di settori con assenza di soluzioni alternative (o con soluzioni meno competitive). La strategia europea prevede un incremento nel mix energetico fino al 13-14 per cento entro il 2050, con un obiettivo di nuova capacità installata di elettrolizzatori per idrogeno verde pari a circa 40 GW a livello europeo. L’Italia, in linea con la strategia europea, intende perseguire questa opportunità e promuovere la produzione e l’utilizzo di idrogeno, in particolare in questa Componente: i) sviluppando progetti </w:t>
      </w:r>
      <w:proofErr w:type="spellStart"/>
      <w:r w:rsidRPr="0043089C">
        <w:rPr>
          <w:rFonts w:ascii="Times New Roman" w:hAnsi="Times New Roman" w:cs="Times New Roman"/>
          <w:i/>
          <w:iCs/>
          <w:sz w:val="24"/>
          <w:szCs w:val="24"/>
        </w:rPr>
        <w:t>flagship</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per l’utilizzo di idrogeno nei settori industriali </w:t>
      </w:r>
      <w:r w:rsidRPr="0043089C">
        <w:rPr>
          <w:rFonts w:ascii="Times New Roman" w:hAnsi="Times New Roman" w:cs="Times New Roman"/>
          <w:i/>
          <w:iCs/>
          <w:sz w:val="24"/>
          <w:szCs w:val="24"/>
        </w:rPr>
        <w:t>hard-to-abate</w:t>
      </w:r>
      <w:r w:rsidRPr="0043089C">
        <w:rPr>
          <w:rFonts w:ascii="Times New Roman" w:hAnsi="Times New Roman" w:cs="Times New Roman"/>
          <w:sz w:val="24"/>
          <w:szCs w:val="24"/>
        </w:rPr>
        <w:t>, a partire dalla siderurgia; ii) favorendo la creazione di “</w:t>
      </w:r>
      <w:proofErr w:type="spellStart"/>
      <w:r w:rsidRPr="0043089C">
        <w:rPr>
          <w:rFonts w:ascii="Times New Roman" w:hAnsi="Times New Roman" w:cs="Times New Roman"/>
          <w:i/>
          <w:iCs/>
          <w:sz w:val="24"/>
          <w:szCs w:val="24"/>
        </w:rPr>
        <w:t>hydrogen</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valleys</w:t>
      </w:r>
      <w:proofErr w:type="spellEnd"/>
      <w:r w:rsidRPr="0043089C">
        <w:rPr>
          <w:rFonts w:ascii="Times New Roman" w:hAnsi="Times New Roman" w:cs="Times New Roman"/>
          <w:sz w:val="24"/>
          <w:szCs w:val="24"/>
        </w:rPr>
        <w:t xml:space="preserve">”, facendo leva in particolare su aree con siti industriali dismessi; iii) abilitando – tramite stazioni di ricarica – l’utilizzo dell’idrogeno nel trasporto pesante e in selezionate tratte ferroviarie non elettrificabili; iv) supportando la ricerca e sviluppo e completando tutte le riforme e regolamenti necessari a consentire l’utilizzo, il trasporto e la distribuzione di 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Quarto obiettivo all’interno della componente è quello di sviluppare un trasporto locale più sostenibile, non solo ai fini della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ma anche come leva di miglioramento complessivo della qualità della vita (riduzione inquinamento dell’aria e acustico, riduzione delle congestioni e integrazione di nuovi servizi): i) investendo in mobilità “</w:t>
      </w:r>
      <w:r w:rsidRPr="0043089C">
        <w:rPr>
          <w:rFonts w:ascii="Times New Roman" w:hAnsi="Times New Roman" w:cs="Times New Roman"/>
          <w:i/>
          <w:iCs/>
          <w:sz w:val="24"/>
          <w:szCs w:val="24"/>
        </w:rPr>
        <w:t>soft”</w:t>
      </w:r>
      <w:r w:rsidRPr="0043089C">
        <w:rPr>
          <w:rFonts w:ascii="Times New Roman" w:hAnsi="Times New Roman" w:cs="Times New Roman"/>
          <w:sz w:val="24"/>
          <w:szCs w:val="24"/>
        </w:rPr>
        <w:t>, favorendo l’</w:t>
      </w:r>
      <w:proofErr w:type="spellStart"/>
      <w:r w:rsidRPr="0043089C">
        <w:rPr>
          <w:rFonts w:ascii="Times New Roman" w:hAnsi="Times New Roman" w:cs="Times New Roman"/>
          <w:sz w:val="24"/>
          <w:szCs w:val="24"/>
        </w:rPr>
        <w:t>intermodalità</w:t>
      </w:r>
      <w:proofErr w:type="spellEnd"/>
      <w:r w:rsidRPr="0043089C">
        <w:rPr>
          <w:rFonts w:ascii="Times New Roman" w:hAnsi="Times New Roman" w:cs="Times New Roman"/>
          <w:sz w:val="24"/>
          <w:szCs w:val="24"/>
        </w:rPr>
        <w:t xml:space="preserve"> e l’utilizzo di biciclette (realizzazione di percorsi ciclabili urbani per ~570 km e di percorsi ciclabili turistici per oltre 1.200 km) e trasporto pubblico (costruzione di 240 km di infrastrutture equipaggiate per trasporto di massa); ii) sviluppando un’adeguata rete infrastrutturale di ricarica elettrica pubblica (sviluppo di 7.500 punti di ricarica nelle superstrade e di circa 13.750 punti di ricarica in centri urbani); iii) accelerando la diffusione di trasporto pubblico locale ‘verde’, con un </w:t>
      </w:r>
      <w:r w:rsidRPr="0043089C">
        <w:rPr>
          <w:rFonts w:ascii="Times New Roman" w:hAnsi="Times New Roman" w:cs="Times New Roman"/>
          <w:sz w:val="24"/>
          <w:szCs w:val="24"/>
        </w:rPr>
        <w:lastRenderedPageBreak/>
        <w:t xml:space="preserve">programma di grande rinnovamento del parco bus oramai obsoleto verso soluzioni a basse/ zero emissioni (es., rinnovo parco autobus composto da 5.540 mezzi e ritiro dei mezzi EURO 0, 1, 2 e parte degli EURO 3), e di treni verdi (es., acquisto di 53 treni elettrici).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Infine, gli investimenti contenuti nella quinta e ultima linea di questa componente intendono promuovere lo sviluppo in Italia di </w:t>
      </w:r>
      <w:proofErr w:type="spellStart"/>
      <w:r w:rsidRPr="0043089C">
        <w:rPr>
          <w:rFonts w:ascii="Times New Roman" w:hAnsi="Times New Roman" w:cs="Times New Roman"/>
          <w:i/>
          <w:iCs/>
          <w:sz w:val="24"/>
          <w:szCs w:val="24"/>
        </w:rPr>
        <w:t>supply</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chain</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competitive nelle aree a maggior crescita che consentano di ridurre la dipendenza da importazioni di tecnologie ed anzi di farne motore di occupazione e crescita. In particolare: i) tecnologie per la generazione rinnovabile (e.g. moduli PV innovativi, aerogeneratori di nuova generazione e taglia medio-grande) e per l’accumulo elettrochimico; ii) tecnologie per la produzione di elettrolizzatori; iii) mezzi per la mobilità sostenibile (e.g. bus elettrici); iv) batterie per il settore dei trasporti.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M2C2.1 INCREMENTARE LA QUOTA DI ENERGIA PRODOTTA DA FONTI DI ENERGIA RINNOVABILE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1.1: Sviluppo agro-voltaico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settore agricolo è responsabile del 10 per cento delle emissioni di gas serra in Europa. Con questa iniziativa le tematiche di produzione agricola sostenibile e produzione energetica da fonti rinnovabili vengono affrontate in maniera coordinata con l’obiettivo di diffondere impianti agro-voltaici di medie e grandi dimensioni.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misura di investimento nello specifico prevede: i) l'implementazione di sistemi ibridi agricoltura-produzione di energia che non compromettano l'utilizzo dei terreni dedicati all'agricoltura, ma contribuiscano alla sostenibilità ambientale ed economica delle aziende coinvolte, anche potenzialmente valorizzando i bacini idrici tramite soluzioni galleggianti; ii) il monitoraggio delle realizzazioni e della loro efficacia, con la raccolta dei dati sia sugli impianti fotovoltaici sia su produzione e attività agricola sottostante, al fine di valutare il microclima, il risparmio idrico, il recupero della fertilità del suolo, la resilienza ai cambiamenti climatici e la produttività agricola per i diversi tipi di colture.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L’investimento si pone il fine di rendere più competitivo il settore agricolo, riducendo i costi di approvvigionamento energetico (ad oggi stimati pari a oltre il 20 per cento dei costi variabili delle aziende e con punte ancora più elevate per alcuni settori erbivori e granivori), e migliorando al contempo le prestazioni climatiche-ambientali.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L'obiettivo dell'investimento è installare a regime una capacità produttiva da impianti agro-voltaici di 1,04 GW, che produrrebbe circa 1.300 </w:t>
      </w:r>
      <w:proofErr w:type="spellStart"/>
      <w:r w:rsidRPr="0043089C">
        <w:rPr>
          <w:rFonts w:ascii="Times New Roman" w:hAnsi="Times New Roman" w:cs="Times New Roman"/>
          <w:sz w:val="24"/>
          <w:szCs w:val="24"/>
        </w:rPr>
        <w:t>GWh</w:t>
      </w:r>
      <w:proofErr w:type="spellEnd"/>
      <w:r w:rsidRPr="0043089C">
        <w:rPr>
          <w:rFonts w:ascii="Times New Roman" w:hAnsi="Times New Roman" w:cs="Times New Roman"/>
          <w:sz w:val="24"/>
          <w:szCs w:val="24"/>
        </w:rPr>
        <w:t xml:space="preserve"> annui, con riduzione delle emissioni di gas serra stimabile in circa 0,8 milioni di tonnellate di CO2.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1.2: Promozione rinnovabili per le comunità energetiche e l'auto-consumo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L’investimento si concentra sul sostegno alle comunità energetiche e alle strutture collettive di autoproduzione e consentirà di estendere la sperimentazione già avviata con l’anticipato recepimento della Direttiva RED II ad una dimensione più significativa e di focalizzarsi sulle aree in cui si prevede il maggior impatto socio-territoriale. </w:t>
      </w:r>
      <w:r w:rsidRPr="0043089C">
        <w:rPr>
          <w:rFonts w:ascii="Times New Roman" w:hAnsi="Times New Roman" w:cs="Times New Roman"/>
          <w:sz w:val="24"/>
          <w:szCs w:val="24"/>
        </w:rPr>
        <w:lastRenderedPageBreak/>
        <w:t xml:space="preserve">L'investimento, infatti, individua Pubbliche Amministrazioni, famiglie e microimprese in Comuni con meno di 5.000 abitanti, sostenendo così l'economia dei piccoli Comuni, spesso a rischio di spopolamento, e rafforzando la coesione sociale.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In particolare, questo investimento mira a garantire le risorse necessarie per installare circa 2.000 MW di nuova capacità di generazione elettrica in configurazione distribuita da parte di comunità delle energie rinnovabili e auto-consumatori di energie rinnovabili che agiscono congiuntamente.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realizzazione di questi interventi, ipotizzando che riguardino impianti fotovoltaici con una produzione annua di 1.250 kWh per kW, produrrebbe circa 2.500 </w:t>
      </w:r>
      <w:proofErr w:type="spellStart"/>
      <w:r w:rsidRPr="0043089C">
        <w:rPr>
          <w:rFonts w:ascii="Times New Roman" w:hAnsi="Times New Roman" w:cs="Times New Roman"/>
          <w:sz w:val="24"/>
          <w:szCs w:val="24"/>
        </w:rPr>
        <w:t>GWh</w:t>
      </w:r>
      <w:proofErr w:type="spellEnd"/>
      <w:r w:rsidRPr="0043089C">
        <w:rPr>
          <w:rFonts w:ascii="Times New Roman" w:hAnsi="Times New Roman" w:cs="Times New Roman"/>
          <w:sz w:val="24"/>
          <w:szCs w:val="24"/>
        </w:rPr>
        <w:t xml:space="preserve"> annui, contribuirà a una riduzione delle emissioni di gas serra stimata in circa 1,5 milioni di tonnellate di CO2 all'anno. Per ottenere quote più elevate di autoconsumo energetico, queste configurazioni possono anche essere combinate con sistemi di accumulo di energia.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1.3: Promozione impianti innovativi (incluso </w:t>
      </w:r>
      <w:r w:rsidRPr="0043089C">
        <w:rPr>
          <w:rFonts w:ascii="Times New Roman" w:hAnsi="Times New Roman" w:cs="Times New Roman"/>
          <w:b/>
          <w:bCs/>
          <w:i/>
          <w:iCs/>
          <w:sz w:val="24"/>
          <w:szCs w:val="24"/>
        </w:rPr>
        <w:t>off-shore</w:t>
      </w:r>
      <w:r w:rsidRPr="0043089C">
        <w:rPr>
          <w:rFonts w:ascii="Times New Roman" w:hAnsi="Times New Roman" w:cs="Times New Roman"/>
          <w:b/>
          <w:bCs/>
          <w:sz w:val="24"/>
          <w:szCs w:val="24"/>
        </w:rPr>
        <w:t xml:space="preserv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raggiungimento degli obiettivi in materia di energia rinnovabile al 2030 e al 2050 implica un grande investimento nella ricerca di soluzioni innovative di produzione di energia, in termini sia di tecnologie sia di assetti e configurazioni impiantistiche. È per questo cruciale incoraggiare gli investitori nazionali ed esteri a sviluppare progetti in Italia, rafforzando le </w:t>
      </w:r>
      <w:r w:rsidRPr="0043089C">
        <w:rPr>
          <w:rFonts w:ascii="Times New Roman" w:hAnsi="Times New Roman" w:cs="Times New Roman"/>
          <w:i/>
          <w:iCs/>
          <w:sz w:val="24"/>
          <w:szCs w:val="24"/>
        </w:rPr>
        <w:t xml:space="preserve">partnership </w:t>
      </w:r>
      <w:r w:rsidRPr="0043089C">
        <w:rPr>
          <w:rFonts w:ascii="Times New Roman" w:hAnsi="Times New Roman" w:cs="Times New Roman"/>
          <w:sz w:val="24"/>
          <w:szCs w:val="24"/>
        </w:rPr>
        <w:t xml:space="preserve">oggi esistenti e promuovendone di nuove, alla ricerca di soluzioni sempre più </w:t>
      </w:r>
      <w:proofErr w:type="spellStart"/>
      <w:r w:rsidRPr="0043089C">
        <w:rPr>
          <w:rFonts w:ascii="Times New Roman" w:hAnsi="Times New Roman" w:cs="Times New Roman"/>
          <w:i/>
          <w:iCs/>
          <w:sz w:val="24"/>
          <w:szCs w:val="24"/>
        </w:rPr>
        <w:t>smart</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ed efficienti.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L’obiettivo del progetto è quello di sostenere la realizzazione di sistemi di generazione di energia rinnovabile </w:t>
      </w:r>
      <w:r w:rsidRPr="0043089C">
        <w:rPr>
          <w:rFonts w:ascii="Times New Roman" w:hAnsi="Times New Roman" w:cs="Times New Roman"/>
          <w:i/>
          <w:iCs/>
          <w:sz w:val="24"/>
          <w:szCs w:val="24"/>
        </w:rPr>
        <w:t>off-shore</w:t>
      </w:r>
      <w:r w:rsidRPr="0043089C">
        <w:rPr>
          <w:rFonts w:ascii="Times New Roman" w:hAnsi="Times New Roman" w:cs="Times New Roman"/>
          <w:sz w:val="24"/>
          <w:szCs w:val="24"/>
        </w:rPr>
        <w:t xml:space="preserve">, che combinino tecnologie ad alto potenziale di sviluppo con tecnologie più sperimentali (come i sistemi che sfruttano il moto ondoso), in assetti innovativi e integrati da sistemi di accumulo. L’intervento mira quindi a realizzare nei prossimi anni impianti con una capacità totale installata di 200 MW da FER. La realizzazione di questi interventi, per gli assetti ipotizzati in funzione delle diverse tecnologie impiegate, consentirebbe di produrre circa 490 </w:t>
      </w:r>
      <w:proofErr w:type="spellStart"/>
      <w:r w:rsidRPr="0043089C">
        <w:rPr>
          <w:rFonts w:ascii="Times New Roman" w:hAnsi="Times New Roman" w:cs="Times New Roman"/>
          <w:sz w:val="24"/>
          <w:szCs w:val="24"/>
        </w:rPr>
        <w:t>GWh</w:t>
      </w:r>
      <w:proofErr w:type="spellEnd"/>
      <w:r w:rsidRPr="0043089C">
        <w:rPr>
          <w:rFonts w:ascii="Times New Roman" w:hAnsi="Times New Roman" w:cs="Times New Roman"/>
          <w:sz w:val="24"/>
          <w:szCs w:val="24"/>
        </w:rPr>
        <w:t xml:space="preserve"> anno che contribuirebbero ad una riduzione di emissioni di gas climalteranti stimata intorno alle 286.000 tonnellate di CO2.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1.4: Sviluppo </w:t>
      </w:r>
      <w:proofErr w:type="spellStart"/>
      <w:r w:rsidRPr="0043089C">
        <w:rPr>
          <w:rFonts w:ascii="Times New Roman" w:hAnsi="Times New Roman" w:cs="Times New Roman"/>
          <w:b/>
          <w:bCs/>
          <w:sz w:val="24"/>
          <w:szCs w:val="24"/>
        </w:rPr>
        <w:t>biometano</w:t>
      </w:r>
      <w:proofErr w:type="spellEnd"/>
      <w:r w:rsidRPr="0043089C">
        <w:rPr>
          <w:rFonts w:ascii="Times New Roman" w:hAnsi="Times New Roman" w:cs="Times New Roman"/>
          <w:b/>
          <w:bCs/>
          <w:sz w:val="24"/>
          <w:szCs w:val="24"/>
        </w:rPr>
        <w:t xml:space="preserv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 sviluppo del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ottenuto massimizzando il recupero energetico dei residui organici, è strategico per il potenziamento di un’economia circolare basata sul riutilizzo ed è un elemento rilevante per il raggiungimento dei target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europei. Se veicolato nella rete gas, il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può contribuire al raggiungimento dei target al 2030 con un risparmio complessivo di gas a effetto serra rispetto al ciclo vita del metano fossile tra l'80 e l'85 per cento.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linea di investimento si pone l’obiettivo di: i) riconvertire e migliorare l’efficienza degli impianti biogas agricoli esistenti verso la produzione totale o parziale di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da utilizzare sia nel settore del riscaldamento e raffrescamento industriale e residenziale sia nei settori terziario e dei trasporti; ii) supportare la realizzazione di nuovi impianti per </w:t>
      </w:r>
      <w:r w:rsidRPr="0043089C">
        <w:rPr>
          <w:rFonts w:ascii="Times New Roman" w:hAnsi="Times New Roman" w:cs="Times New Roman"/>
          <w:sz w:val="24"/>
          <w:szCs w:val="24"/>
        </w:rPr>
        <w:lastRenderedPageBreak/>
        <w:t xml:space="preserve">la produzione di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(attraverso un contributo del 40 per cento dell’investimento), sempre con le stesse destinazioni; iii) promuovere la diffusione di pratiche ecologiche nella fase di produzione del biogas (siti di lavorazione minima del suolo, sistemi innovativi a basse emissioni per la distribuzione del </w:t>
      </w:r>
      <w:proofErr w:type="spellStart"/>
      <w:r w:rsidRPr="0043089C">
        <w:rPr>
          <w:rFonts w:ascii="Times New Roman" w:hAnsi="Times New Roman" w:cs="Times New Roman"/>
          <w:sz w:val="24"/>
          <w:szCs w:val="24"/>
        </w:rPr>
        <w:t>digestato</w:t>
      </w:r>
      <w:proofErr w:type="spellEnd"/>
      <w:r w:rsidRPr="0043089C">
        <w:rPr>
          <w:rFonts w:ascii="Times New Roman" w:hAnsi="Times New Roman" w:cs="Times New Roman"/>
          <w:sz w:val="24"/>
          <w:szCs w:val="24"/>
        </w:rPr>
        <w:t xml:space="preserve">) per ridurre l'uso di fertilizzanti sintetici e aumentare l'approvvigionamento di materia organica nei suoli, e creare poli consortili per il trattamento centralizzato di </w:t>
      </w:r>
      <w:proofErr w:type="spellStart"/>
      <w:r w:rsidRPr="0043089C">
        <w:rPr>
          <w:rFonts w:ascii="Times New Roman" w:hAnsi="Times New Roman" w:cs="Times New Roman"/>
          <w:sz w:val="24"/>
          <w:szCs w:val="24"/>
        </w:rPr>
        <w:t>digestati</w:t>
      </w:r>
      <w:proofErr w:type="spellEnd"/>
      <w:r w:rsidRPr="0043089C">
        <w:rPr>
          <w:rFonts w:ascii="Times New Roman" w:hAnsi="Times New Roman" w:cs="Times New Roman"/>
          <w:sz w:val="24"/>
          <w:szCs w:val="24"/>
        </w:rPr>
        <w:t xml:space="preserve"> ed effluenti con produzione di fertilizzanti di origine organica; iv) promuovere la sostituzione di veicoli meccanici obsoleti e a bassa efficienza con veicoli alimentati a metano/</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v) migliorare l’efficienza in termini di utilizzo di calore e riduzione delle emissioni di impianti agricoli di piccola scala esistenti per i quali non è possibile accedere alle misure di riconversione.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Attraverso questo intervento sarà possibile incrementare la potenza di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da riconversione da destinare al </w:t>
      </w:r>
      <w:proofErr w:type="spellStart"/>
      <w:r w:rsidRPr="0043089C">
        <w:rPr>
          <w:rFonts w:ascii="Times New Roman" w:hAnsi="Times New Roman" w:cs="Times New Roman"/>
          <w:i/>
          <w:iCs/>
          <w:sz w:val="24"/>
          <w:szCs w:val="24"/>
        </w:rPr>
        <w:t>greening</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della rete gas pari a circa 2,3-2,5 miliardi di metri cubi.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rendere efficace l’implementazione di questi interventi nei tempi previsti, e più in generale per abilitare lo sviluppo di impianti rinnovabili in linea con i target nazionali, saranno introdotte due riforme fondamentali: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Riforma 1.1: Semplificazione delle procedure di autorizzazione per gli impianti rinnovabili </w:t>
      </w:r>
      <w:proofErr w:type="spellStart"/>
      <w:r w:rsidRPr="0043089C">
        <w:rPr>
          <w:rFonts w:ascii="Times New Roman" w:hAnsi="Times New Roman" w:cs="Times New Roman"/>
          <w:b/>
          <w:bCs/>
          <w:i/>
          <w:iCs/>
          <w:sz w:val="24"/>
          <w:szCs w:val="24"/>
        </w:rPr>
        <w:t>onshore</w:t>
      </w:r>
      <w:proofErr w:type="spellEnd"/>
      <w:r w:rsidRPr="0043089C">
        <w:rPr>
          <w:rFonts w:ascii="Times New Roman" w:hAnsi="Times New Roman" w:cs="Times New Roman"/>
          <w:b/>
          <w:bCs/>
          <w:i/>
          <w:iCs/>
          <w:sz w:val="24"/>
          <w:szCs w:val="24"/>
        </w:rPr>
        <w:t xml:space="preserve"> </w:t>
      </w:r>
      <w:r w:rsidRPr="0043089C">
        <w:rPr>
          <w:rFonts w:ascii="Times New Roman" w:hAnsi="Times New Roman" w:cs="Times New Roman"/>
          <w:b/>
          <w:bCs/>
          <w:sz w:val="24"/>
          <w:szCs w:val="24"/>
        </w:rPr>
        <w:t xml:space="preserve">e </w:t>
      </w:r>
      <w:r w:rsidRPr="0043089C">
        <w:rPr>
          <w:rFonts w:ascii="Times New Roman" w:hAnsi="Times New Roman" w:cs="Times New Roman"/>
          <w:b/>
          <w:bCs/>
          <w:i/>
          <w:iCs/>
          <w:sz w:val="24"/>
          <w:szCs w:val="24"/>
        </w:rPr>
        <w:t>offshore</w:t>
      </w:r>
      <w:r w:rsidRPr="0043089C">
        <w:rPr>
          <w:rFonts w:ascii="Times New Roman" w:hAnsi="Times New Roman" w:cs="Times New Roman"/>
          <w:b/>
          <w:bCs/>
          <w:sz w:val="24"/>
          <w:szCs w:val="24"/>
        </w:rPr>
        <w:t xml:space="preserve">, nuovo quadro giuridico per sostenere la produzione da fonti rinnovabili e proroga dei tempi e dell'ammissibilità degli attuali regimi di sostegno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riforma si pone i seguenti obiettivi: i) omogeneizzazione delle procedure autorizzative su tutto il territorio nazionale; ii) semplificazione delle procedure per la realizzazione di impianti di generazione di energia rinnovabile </w:t>
      </w:r>
      <w:r w:rsidRPr="0043089C">
        <w:rPr>
          <w:rFonts w:ascii="Times New Roman" w:hAnsi="Times New Roman" w:cs="Times New Roman"/>
          <w:i/>
          <w:iCs/>
          <w:sz w:val="24"/>
          <w:szCs w:val="24"/>
        </w:rPr>
        <w:t>off-shore</w:t>
      </w:r>
      <w:r w:rsidRPr="0043089C">
        <w:rPr>
          <w:rFonts w:ascii="Times New Roman" w:hAnsi="Times New Roman" w:cs="Times New Roman"/>
          <w:sz w:val="24"/>
          <w:szCs w:val="24"/>
        </w:rPr>
        <w:t xml:space="preserve">; iii) semplificazione delle procedure di impatto ambientale; iv) condivisione a livello regionale di un piano di identificazione e sviluppo di aree adatte a fonti rinnovabili; v) potenziamento di investimenti privati; vi) incentivazione dello sviluppo di meccanismi di accumulo di energia; vii) incentivazione di investimenti pubblico-privati nel settore.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riforma prevede le seguenti azioni normative: i) la creazione di un quadro normativo semplificato e accessibile per gli impianti FER, in continuità con quanto previsto dal Decreto Semplificazioni; ii) l'emanazione di una disciplina, condivisa con le Regioni e le altre Amministrazioni dello Stato interessate, volta a definire i criteri per l'individuazione delle aree e delle aree idonee e non idonee all'installazione di impianti di energie rinnovabili di potenza complessiva almeno pari a quello individuato dal PNIEC, per il raggiungimento degli obiettivi di sviluppo delle fonti rinnovabili; iii) il completamento del meccanismo di sostegno FER anche per tecnologie non mature e l'estensione del periodo di svolgimento dell'asta (anche per tenere conto del rallentamento causato dal periodo di emergenza sanitaria), mantenendo i principi dell'accesso competitivo; iv) agevolazione normative per gli investimenti nei sistemi di stoccaggio, come nel decreto legislativo di recepimento della direttiva (UE) 2019/944 recante regole comuni per il mercato interno dell'energia elettrica.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lastRenderedPageBreak/>
        <w:t xml:space="preserve">Riforma 1.2: Nuova normativa per la promozione della produzione e del consumo di gas rinnovabile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riforma intende promuovere, in coordinamento con gli strumenti esistenti per lo sviluppo del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nel settore dei trasporti, la produzione e l’utilizzo del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anche in altri settori, e nello specifico amplia la possibilità di riconversione degli impianti esistenti nel settore agricolo.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riforma si compone di un decreto legislativo attuativo della RED II (o una diversa normativa primaria) che istituirà un meccanismo atto a promuovere la produzione e il consumo di gas rinnovabile in Italia (esclusi gli usi termoelettrici). Successivamente, tramite decreto emesso dal </w:t>
      </w:r>
      <w:proofErr w:type="spellStart"/>
      <w:r w:rsidRPr="0043089C">
        <w:rPr>
          <w:rFonts w:ascii="Times New Roman" w:hAnsi="Times New Roman" w:cs="Times New Roman"/>
          <w:sz w:val="24"/>
          <w:szCs w:val="24"/>
        </w:rPr>
        <w:t>MiTE</w:t>
      </w:r>
      <w:proofErr w:type="spellEnd"/>
      <w:r w:rsidRPr="0043089C">
        <w:rPr>
          <w:rFonts w:ascii="Times New Roman" w:hAnsi="Times New Roman" w:cs="Times New Roman"/>
          <w:sz w:val="24"/>
          <w:szCs w:val="24"/>
        </w:rPr>
        <w:t xml:space="preserve"> saranno stabilire condizioni, criteri e modi di attuazione del sistema di promozione della produzione e del consumo di </w:t>
      </w:r>
      <w:proofErr w:type="spellStart"/>
      <w:r w:rsidRPr="0043089C">
        <w:rPr>
          <w:rFonts w:ascii="Times New Roman" w:hAnsi="Times New Roman" w:cs="Times New Roman"/>
          <w:sz w:val="24"/>
          <w:szCs w:val="24"/>
        </w:rPr>
        <w:t>biometano</w:t>
      </w:r>
      <w:proofErr w:type="spellEnd"/>
      <w:r w:rsidRPr="0043089C">
        <w:rPr>
          <w:rFonts w:ascii="Times New Roman" w:hAnsi="Times New Roman" w:cs="Times New Roman"/>
          <w:sz w:val="24"/>
          <w:szCs w:val="24"/>
        </w:rPr>
        <w:t xml:space="preserve"> nei settori industriale, terziario e residenziale. La legislazione primaria sarà emanata entro la metà del 2021, seguita dal decreto attuativo entro fine anno. Nel 2022 inizieranno le riconversioni che entreranno gradualmente in funzione.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M2C2.2 POTENZIARE E DIGITALIZZARE LE INFRASTRUTTURE DI RETE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2.1: Rafforzamento </w:t>
      </w:r>
      <w:proofErr w:type="spellStart"/>
      <w:r w:rsidRPr="0043089C">
        <w:rPr>
          <w:rFonts w:ascii="Times New Roman" w:hAnsi="Times New Roman" w:cs="Times New Roman"/>
          <w:b/>
          <w:bCs/>
          <w:i/>
          <w:iCs/>
          <w:sz w:val="24"/>
          <w:szCs w:val="24"/>
        </w:rPr>
        <w:t>smart</w:t>
      </w:r>
      <w:proofErr w:type="spellEnd"/>
      <w:r w:rsidRPr="0043089C">
        <w:rPr>
          <w:rFonts w:ascii="Times New Roman" w:hAnsi="Times New Roman" w:cs="Times New Roman"/>
          <w:b/>
          <w:bCs/>
          <w:i/>
          <w:iCs/>
          <w:sz w:val="24"/>
          <w:szCs w:val="24"/>
        </w:rPr>
        <w:t xml:space="preserve"> </w:t>
      </w:r>
      <w:proofErr w:type="spellStart"/>
      <w:r w:rsidRPr="0043089C">
        <w:rPr>
          <w:rFonts w:ascii="Times New Roman" w:hAnsi="Times New Roman" w:cs="Times New Roman"/>
          <w:b/>
          <w:bCs/>
          <w:i/>
          <w:iCs/>
          <w:sz w:val="24"/>
          <w:szCs w:val="24"/>
        </w:rPr>
        <w:t>grid</w:t>
      </w:r>
      <w:proofErr w:type="spellEnd"/>
      <w:r w:rsidRPr="0043089C">
        <w:rPr>
          <w:rFonts w:ascii="Times New Roman" w:hAnsi="Times New Roman" w:cs="Times New Roman"/>
          <w:b/>
          <w:bCs/>
          <w:i/>
          <w:iCs/>
          <w:sz w:val="24"/>
          <w:szCs w:val="24"/>
        </w:rPr>
        <w:t xml:space="preserv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Le infrastrutture di distribuzione di energia elettrica costituiscono un fattore abilitante per la transizione energetica, in quanto dovranno essere in grado di gestire un sistema di generazione radicalmente diverso dal passato e flussi di energia distribuita da parte di una molteplicità di impianti. Il raggiungimento degli ambiziosi obiettivi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richiede una rete di distribuzione di energia elettrica pienamente resiliente, digitale e flessibile in modo da garantire sia una gestione ottimizzata della produzione di energia rinnovabile che l’abilitazione della transizione dei consumi energetici verso il vettore elettrico.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L’intervento è quindi finalizzato ad aumentare il grado di affidabilità, sicurezza e flessibilità del sistema energetico nazionale, aumentando la quantità di energia prodotta da FER immessa nella rete di distribuzione e promuovendo una maggiore elettrificazione dei consumi. Nello specifico si compone di due linee progettuali.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prima, mira a incrementare la capacità di rete di ospitare ed integrare ulteriore generazione distribuita da fonti rinnovabili per 4.000 MW, anche tramite realizzazione di interventi di </w:t>
      </w:r>
      <w:proofErr w:type="spellStart"/>
      <w:r w:rsidRPr="0043089C">
        <w:rPr>
          <w:rFonts w:ascii="Times New Roman" w:hAnsi="Times New Roman" w:cs="Times New Roman"/>
          <w:i/>
          <w:iCs/>
          <w:sz w:val="24"/>
          <w:szCs w:val="24"/>
        </w:rPr>
        <w:t>smart</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grid</w:t>
      </w:r>
      <w:proofErr w:type="spellEnd"/>
      <w:r w:rsidRPr="0043089C">
        <w:rPr>
          <w:rFonts w:ascii="Times New Roman" w:hAnsi="Times New Roman" w:cs="Times New Roman"/>
          <w:i/>
          <w:iCs/>
          <w:sz w:val="24"/>
          <w:szCs w:val="24"/>
        </w:rPr>
        <w:t xml:space="preserve"> </w:t>
      </w:r>
      <w:r w:rsidRPr="0043089C">
        <w:rPr>
          <w:rFonts w:ascii="Times New Roman" w:hAnsi="Times New Roman" w:cs="Times New Roman"/>
          <w:sz w:val="24"/>
          <w:szCs w:val="24"/>
        </w:rPr>
        <w:t xml:space="preserve">su 115 sottostazioni primarie e la relativa rete sottesa.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seconda, concerne l’aumento di capacità e potenza a disposizione delle utenze per favorire l’elettrificazione dei consumi energetici (es. mobilità elettrica, riscaldamento con pompe di calore), con un impatto su circa 1.850.000 utenti che disporranno quindi di una maggiore capacità di connessione della generazione distribuita in aree ad alta concentrazione come le grandi città metropolitane.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2.2: Interventi su resilienza climatica delle reti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L’intensificazione di eventi meteorologici estremi in conseguenza dei cambiamenti climatici in atto determina la necessità di interventi di carattere preventivo sulle </w:t>
      </w:r>
      <w:r w:rsidRPr="0043089C">
        <w:rPr>
          <w:rFonts w:ascii="Times New Roman" w:hAnsi="Times New Roman" w:cs="Times New Roman"/>
          <w:sz w:val="24"/>
          <w:szCs w:val="24"/>
        </w:rPr>
        <w:lastRenderedPageBreak/>
        <w:t xml:space="preserve">infrastrutture di rete. Le reti elettriche sono risultate negli ultimi anni fortemente esposte a tali eventi, soprattutto in alcune aree del Paese dell’Italia settentrionale e centrale, con conseguenze molto negative per le aree interne, dove peraltro la popolazione è mediamente più anziana e i rischi causati da una prolungata interruzione delle forniture (anche di vari giorni) particolarmente gravi.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L’iniziativa si pone l’obiettivo di aumentare la resilienza del sistema elettrico, con riduzione sia di probabilità che di durata e entità di interruzioni di corrente in caso di stress derivante da fenomeni climatici estremi. L’investimento nello specifico è finalizzato a migliorare la resilienza della di circa 4.000km di rete.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miglioramento della qualità di servizio, con maggiore qualità dell’approvvigionamento energetico, minori interruzioni di rete e durata inferiore delle interruzioni, ha un impatto anche a livello socioeconomico, con minori costi di ripristino della rete e costi evitati su attività economiche e vita sociale legati a interruzioni di corrente prolungate.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M2C2.3 PROMUOVERE LA PRODUZIONE, LA DISTRIBUZIONE E GLI USI FINALI DELL’IDROGENO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3.1: Produzione in aree industriali dismesse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Da una prima indagine statistica del 2011, la superficie totale delle aree industriali nel territorio nazionale era di circa 9.000 km2, una superficie circa pari a quella della regione Umbria. La maggior parte delle aree sono situate in una posizione strategica per contribuire a costruire una rete idrogeno più granulare di produzione e distribuzione alle PMI vicine. Il progetto si pone l’obiettivo di promuovere la produzione locale e l'uso di idrogeno nell'industria e nel trasporto locale, con la creazione delle cosiddette </w:t>
      </w:r>
      <w:proofErr w:type="spellStart"/>
      <w:r w:rsidRPr="0043089C">
        <w:rPr>
          <w:rFonts w:ascii="Times New Roman" w:hAnsi="Times New Roman" w:cs="Times New Roman"/>
          <w:i/>
          <w:iCs/>
          <w:sz w:val="24"/>
          <w:szCs w:val="24"/>
        </w:rPr>
        <w:t>hydrogen</w:t>
      </w:r>
      <w:proofErr w:type="spellEnd"/>
      <w:r w:rsidRPr="0043089C">
        <w:rPr>
          <w:rFonts w:ascii="Times New Roman" w:hAnsi="Times New Roman" w:cs="Times New Roman"/>
          <w:i/>
          <w:iCs/>
          <w:sz w:val="24"/>
          <w:szCs w:val="24"/>
        </w:rPr>
        <w:t xml:space="preserve"> </w:t>
      </w:r>
      <w:proofErr w:type="spellStart"/>
      <w:r w:rsidRPr="0043089C">
        <w:rPr>
          <w:rFonts w:ascii="Times New Roman" w:hAnsi="Times New Roman" w:cs="Times New Roman"/>
          <w:i/>
          <w:iCs/>
          <w:sz w:val="24"/>
          <w:szCs w:val="24"/>
        </w:rPr>
        <w:t>valleys</w:t>
      </w:r>
      <w:proofErr w:type="spellEnd"/>
      <w:r w:rsidRPr="0043089C">
        <w:rPr>
          <w:rFonts w:ascii="Times New Roman" w:hAnsi="Times New Roman" w:cs="Times New Roman"/>
          <w:sz w:val="24"/>
          <w:szCs w:val="24"/>
        </w:rPr>
        <w:t xml:space="preserve">, aree industriali con economia in parte basata su 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contenere i costi verranno utilizzate aree dismesse già collegate alla rete elettrica, per installare in una prima fase elettrolizzatori per la produzione di idrogeno mediante sovra-generazione FER o produzione FER dedicata nell'area. Si prevede in una prima fase il trasporto dell’idrogeno alle industrie locali o su camion o, nel caso in cui l'area abbandonata sia già allacciata alla rete del gas, su dedicate condotte esistenti in miscela con gas metano24. In aggiunta, per aumentare la domanda, si prevede la possibilità di effettuare rifornimento con idrogeno nelle stazioni per camion o trasporto pubblico locale. Il progetto ha quindi l'ambizione di dare a questi luoghi una seconda vita, utilizzando le loro infrastrutture esistenti, se compatibili, per una serie di servizi energetici, con una produzione prevista in questa fase è di 1-5 MW per sito.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24 Le condotte esistenti possono trasportare senza alcun intervento H2 in una miscela di metano al 2 per cento.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3.2: Utilizzo dell’idrogeno in settori </w:t>
      </w:r>
      <w:r w:rsidRPr="0043089C">
        <w:rPr>
          <w:rFonts w:ascii="Times New Roman" w:hAnsi="Times New Roman" w:cs="Times New Roman"/>
          <w:b/>
          <w:bCs/>
          <w:i/>
          <w:iCs/>
          <w:sz w:val="24"/>
          <w:szCs w:val="24"/>
        </w:rPr>
        <w:t xml:space="preserve">hard-to-abate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L'idrogeno può aiutare a </w:t>
      </w:r>
      <w:proofErr w:type="spellStart"/>
      <w:r w:rsidRPr="0043089C">
        <w:rPr>
          <w:rFonts w:ascii="Times New Roman" w:hAnsi="Times New Roman" w:cs="Times New Roman"/>
          <w:sz w:val="24"/>
          <w:szCs w:val="24"/>
        </w:rPr>
        <w:t>decarbonizzare</w:t>
      </w:r>
      <w:proofErr w:type="spellEnd"/>
      <w:r w:rsidRPr="0043089C">
        <w:rPr>
          <w:rFonts w:ascii="Times New Roman" w:hAnsi="Times New Roman" w:cs="Times New Roman"/>
          <w:sz w:val="24"/>
          <w:szCs w:val="24"/>
        </w:rPr>
        <w:t xml:space="preserve"> i settori </w:t>
      </w:r>
      <w:r w:rsidRPr="0043089C">
        <w:rPr>
          <w:rFonts w:ascii="Times New Roman" w:hAnsi="Times New Roman" w:cs="Times New Roman"/>
          <w:i/>
          <w:iCs/>
          <w:sz w:val="24"/>
          <w:szCs w:val="24"/>
        </w:rPr>
        <w:t>hard-to-abate</w:t>
      </w:r>
      <w:r w:rsidRPr="0043089C">
        <w:rPr>
          <w:rFonts w:ascii="Times New Roman" w:hAnsi="Times New Roman" w:cs="Times New Roman"/>
          <w:sz w:val="24"/>
          <w:szCs w:val="24"/>
        </w:rPr>
        <w:t xml:space="preserve">, caratterizzati da un'alta intensità energetica e privi di opzioni di elettrificazione scalabili. Due esempi di questi sono i settori dei prodotti chimici e della raffinazione del petrolio, in cui l'idrogeno è già utilizzato nella produzione di prodotti chimici di base, come ammoniaca e metanolo, e in </w:t>
      </w:r>
      <w:r w:rsidRPr="0043089C">
        <w:rPr>
          <w:rFonts w:ascii="Times New Roman" w:hAnsi="Times New Roman" w:cs="Times New Roman"/>
          <w:sz w:val="24"/>
          <w:szCs w:val="24"/>
        </w:rPr>
        <w:lastRenderedPageBreak/>
        <w:t xml:space="preserve">una serie di processi di raffinazione. Ad oggi l'idrogeno è principalmente prodotto in loco nella sua forma "grigia", cioè dal gas naturale, ma questo processo non è privo di emissioni: le emissioni per kg di idrogeno grigio prodotto sono nell'ordine di 7-9 kg CO2 / kg H2. La produzione attuale di idrogeno nelle raffinerie è di circa 0,5 </w:t>
      </w:r>
      <w:proofErr w:type="spellStart"/>
      <w:r w:rsidRPr="0043089C">
        <w:rPr>
          <w:rFonts w:ascii="Times New Roman" w:hAnsi="Times New Roman" w:cs="Times New Roman"/>
          <w:sz w:val="24"/>
          <w:szCs w:val="24"/>
        </w:rPr>
        <w:t>Mton</w:t>
      </w:r>
      <w:proofErr w:type="spellEnd"/>
      <w:r w:rsidRPr="0043089C">
        <w:rPr>
          <w:rFonts w:ascii="Times New Roman" w:hAnsi="Times New Roman" w:cs="Times New Roman"/>
          <w:sz w:val="24"/>
          <w:szCs w:val="24"/>
        </w:rPr>
        <w:t xml:space="preserve"> H2 /anno (una penetrazione di ~1 per cento sugli usi finali), rappresentando quindi uno dei settori più promettenti per iniziare a utilizzare l'idrogeno verde e sviluppare il mercato (in Europa, sono già stati lanciati diversi progetti negli ultimi anni).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Altri settori </w:t>
      </w:r>
      <w:r w:rsidRPr="0043089C">
        <w:rPr>
          <w:rFonts w:ascii="Times New Roman" w:hAnsi="Times New Roman" w:cs="Times New Roman"/>
          <w:i/>
          <w:iCs/>
          <w:sz w:val="24"/>
          <w:szCs w:val="24"/>
        </w:rPr>
        <w:t xml:space="preserve">hard-to-abate </w:t>
      </w:r>
      <w:r w:rsidRPr="0043089C">
        <w:rPr>
          <w:rFonts w:ascii="Times New Roman" w:hAnsi="Times New Roman" w:cs="Times New Roman"/>
          <w:sz w:val="24"/>
          <w:szCs w:val="24"/>
        </w:rPr>
        <w:t xml:space="preserve">includono l’acciaio, il cemento, il vetro e la carta. In particolare, l’acciaio è uno dei settori </w:t>
      </w:r>
      <w:r w:rsidRPr="0043089C">
        <w:rPr>
          <w:rFonts w:ascii="Times New Roman" w:hAnsi="Times New Roman" w:cs="Times New Roman"/>
          <w:i/>
          <w:iCs/>
          <w:sz w:val="24"/>
          <w:szCs w:val="24"/>
        </w:rPr>
        <w:t>hard-to-abate</w:t>
      </w:r>
      <w:r w:rsidRPr="0043089C">
        <w:rPr>
          <w:rFonts w:ascii="Times New Roman" w:hAnsi="Times New Roman" w:cs="Times New Roman"/>
          <w:sz w:val="24"/>
          <w:szCs w:val="24"/>
        </w:rPr>
        <w:t xml:space="preserve">’ dove l’idrogeno può assumere un ruolo rilevante in prospettiva di progressiva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Un ciclo dell'acciaio basato sulla produzione di DRI25 con metano e fusione in un forno elettrico genera circa il 30 per cento in meno di emissioni di CO2 rispetto al ciclo integrale, e il successivo sviluppo con idrogeno verde aumenta l’abbattimento delle emissioni al circa 90 per cento. Essendo l’Italia uno dei più grandi produttori di acciaio, secondo solo alla Germania a in Europa, questo intervento mira quindi anche alla progressiva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del processo produttivo dell'acciaio attraverso il crescente utilizzo dell'idrogeno, tenendo conto delle specificità dell'industria siderurgica italiana. La transizione verso l’idrogeno sarà graduale e distribuita nel tempo con l’obiettivo di sviluppare competenze e nuove tecnologie in modo competitivo.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3.3: Sperimentazione dell’idrogeno per il trasporto stradale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trasporto tramite autocarri a lungo raggio è uno dei segmenti più inquinanti nel settore dei trasporti, responsabile per circa il 5-10 per cento delle emissioni di CO2 complessive.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L’intervento ha lo scopo di promuovere la creazione di stazioni di rifornimento a base di idrogeno e implementare i progetti di sperimentazione delle linee a idrogeno. I distributori saranno adatti per camion e auto, funzionanti anche a pressioni di oltre i 700 bar. La realizzazione di questa rete sarà in linea con la direttiva 2014/94 / UE del 22 ottobre 2014 per le Infrastrutture per Combustibili Alternativi finalizzata alla realizzazione di Corridoi Verdi alimentati a idrogeno per autocarri pesanti.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Grazie a tale misura, il segmento degli autocarri a lungo raggio potrebbe registrare una penetrazione significativa dell’idrogeno fino al 5-7 per cento del mercato entro il 2030, potenzialmente anche grazie a ulteriori spinte regolamentari di sforzo aggiuntivo in termini di impatto climatico (es. regolamento specifico sugli OEM con necessità di riduzione delle emissioni del 15 per cento e del 30 per cento sulle nuove vendite entro il 2025 e il 2030, rispettivamente). Il rafforzamento della tecnologia delle celle a combustibile e l’incremento degli investimenti nelle infrastrutture pertinenti come stazioni di rifornimento sono i principali fattori abilitanti chiave per sostenere una simile crescita di mercato.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Attraverso questi investimenti, sarà possibile sviluppare circa 40 stazioni di rifornimento, dando priorità alle aree strategiche per i trasporti stradali pesanti quali le zone prossime a terminal interni e le rotte più densamente attraversate da camion a lungo raggio (es. </w:t>
      </w:r>
      <w:r w:rsidRPr="0043089C">
        <w:rPr>
          <w:rFonts w:ascii="Times New Roman" w:hAnsi="Times New Roman" w:cs="Times New Roman"/>
          <w:sz w:val="24"/>
          <w:szCs w:val="24"/>
        </w:rPr>
        <w:lastRenderedPageBreak/>
        <w:t xml:space="preserve">Corridoio </w:t>
      </w:r>
      <w:r w:rsidRPr="0043089C">
        <w:rPr>
          <w:rFonts w:ascii="Times New Roman" w:hAnsi="Times New Roman" w:cs="Times New Roman"/>
          <w:i/>
          <w:iCs/>
          <w:sz w:val="24"/>
          <w:szCs w:val="24"/>
        </w:rPr>
        <w:t xml:space="preserve">Green </w:t>
      </w:r>
      <w:r w:rsidRPr="0043089C">
        <w:rPr>
          <w:rFonts w:ascii="Times New Roman" w:hAnsi="Times New Roman" w:cs="Times New Roman"/>
          <w:sz w:val="24"/>
          <w:szCs w:val="24"/>
        </w:rPr>
        <w:t xml:space="preserve">and </w:t>
      </w:r>
      <w:r w:rsidRPr="0043089C">
        <w:rPr>
          <w:rFonts w:ascii="Times New Roman" w:hAnsi="Times New Roman" w:cs="Times New Roman"/>
          <w:i/>
          <w:iCs/>
          <w:sz w:val="24"/>
          <w:szCs w:val="24"/>
        </w:rPr>
        <w:t xml:space="preserve">Digital </w:t>
      </w:r>
      <w:r w:rsidRPr="0043089C">
        <w:rPr>
          <w:rFonts w:ascii="Times New Roman" w:hAnsi="Times New Roman" w:cs="Times New Roman"/>
          <w:sz w:val="24"/>
          <w:szCs w:val="24"/>
        </w:rPr>
        <w:t xml:space="preserve">del Brennero, progetto </w:t>
      </w:r>
      <w:r w:rsidRPr="0043089C">
        <w:rPr>
          <w:rFonts w:ascii="Times New Roman" w:hAnsi="Times New Roman" w:cs="Times New Roman"/>
          <w:i/>
          <w:iCs/>
          <w:sz w:val="24"/>
          <w:szCs w:val="24"/>
        </w:rPr>
        <w:t>cross-</w:t>
      </w:r>
      <w:proofErr w:type="spellStart"/>
      <w:r w:rsidRPr="0043089C">
        <w:rPr>
          <w:rFonts w:ascii="Times New Roman" w:hAnsi="Times New Roman" w:cs="Times New Roman"/>
          <w:i/>
          <w:iCs/>
          <w:sz w:val="24"/>
          <w:szCs w:val="24"/>
        </w:rPr>
        <w:t>border</w:t>
      </w:r>
      <w:proofErr w:type="spellEnd"/>
      <w:r w:rsidRPr="0043089C">
        <w:rPr>
          <w:rFonts w:ascii="Times New Roman" w:hAnsi="Times New Roman" w:cs="Times New Roman"/>
          <w:sz w:val="24"/>
          <w:szCs w:val="24"/>
        </w:rPr>
        <w:t xml:space="preserve">, corridoio Ovest - Est da Torino a Trieste).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3.4: Sperimentazione dell’idrogeno per il trasporto ferroviario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Un altro settore di interesse per l'idrogeno è il settore ferroviario, in particolare il trasporto ferroviario passeggeri. In Italia circa un decimo delle reti ferroviarie è servito dai treni diesel, e in alcune regioni italiane i treni diesel hanno un'età media elevata e dovrebbero essere sostituiti nei prossimi anni, rendendo questo il momento giusto per passare all'idrogeno, in particolare dove l'elettrificazione dei treni non è tecnicamente fattibile o non competitiva.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L’intervento prevede quindi la conversione verso l’idrogeno delle linee ferroviarie non elettrificate in regioni caratterizzate da elevato traffico in termini di passeggeri con un forte utilizzo di treni a diesel come Lombardia, Puglia, Sicilia, Abruzzo, Calabria, Umbria e Basilicata. I progetti di fattibilità più avanzati in Valcamonica e Salento prevedono la sperimentazione in modo integrato di produzione, distribuzione e acquisito di treni ad idrogeno. In termini di infrastrutture, sarà data priorità per le strutture di rifornimento alle aree con possibilità di sinergie con le stazioni di rifornimento per camion a lungo raggio, per aumentare utilizzo e domanda di idrogeno e per ridurne i costi di produzione. Il progetto include la produzione di idrogeno verde in prossimità delle stazioni di rifornimento, tramite sviluppo dell’intero sistema di produzione, stoccaggio e utilizzo dell’idrogeno.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Dal momento che ad oggi non esistono stazioni di rifornimento a idrogeno per i treni in Italia, il progetto include attività di R&amp;D (in linea con l’investimento 3.5) per sviluppo di elettrolizzatori ad alta pressione (TRL 5-7), sistemi di stoccaggio ad alta capacità con possibilità di utilizzo di idruri metallici o liquidi (TRL 3-5).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Grazie a questi investimenti, sarà possibile convertire circa 9 stazioni di rifornimento su 6 linee ferroviarie.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3.5: Ricerca e sviluppo sull’idrogeno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progetto mira a migliorare la conoscenza delle tecnologie legate all’idrogeno in tutte le fasi: produzione, stoccaggio e distribuzione. La sperimentazione nei principali segmenti e la realizzazione di prototipi per la fase di industrializzazione è finalizzata ad aumentare la competitività del settore tramite progressiva riduzione dei costi. L'obiettivo del progetto è di sviluppare un vero </w:t>
      </w:r>
      <w:r w:rsidRPr="0043089C">
        <w:rPr>
          <w:rFonts w:ascii="Times New Roman" w:hAnsi="Times New Roman" w:cs="Times New Roman"/>
          <w:i/>
          <w:iCs/>
          <w:sz w:val="24"/>
          <w:szCs w:val="24"/>
        </w:rPr>
        <w:t xml:space="preserve">network </w:t>
      </w:r>
      <w:r w:rsidRPr="0043089C">
        <w:rPr>
          <w:rFonts w:ascii="Times New Roman" w:hAnsi="Times New Roman" w:cs="Times New Roman"/>
          <w:sz w:val="24"/>
          <w:szCs w:val="24"/>
        </w:rPr>
        <w:t xml:space="preserve">sull’idrogeno per testare diverse tecnologie e strategie operative, nonché fornire servizi di ricerca e sviluppo e ingegneria per gli attori industriali che necessitano di una convalida su larga scala dei loro prodotti (in collaborazione con il MUR e la missione M4 del PNRR).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Nello specifico, la linea di intervento prevede lo sviluppo di quattro principali filoni di ricerca: i) produzione di idrogeno verde; ii) sviluppo di tecnologie per stoccaggio e trasporto idrogeno e per trasformazione in altri derivati e combustibili verdi; iii) sviluppo di celle a combustibile; iv) miglioramento della resilienza delle attuali infrastrutture in caso di maggiore diffusione dell’idrogeno.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lastRenderedPageBreak/>
        <w:t xml:space="preserve">Riforma 3.1: Semplificazione amministrativa e riduzione degli ostacoli normativi alla diffusione dell'idrogeno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L’introduzione dell’idrogeno come vettore energetico costituisce una novità assoluta nella gestione del sistema energetico.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Di conseguenza, risulta necessaria l’emanazione di una riforma che includa le seguenti misure: i) emissione di norme tecniche di sicurezza su produzione, trasporto (criteri tecnici e normativi per l'introduzione dell'idrogeno nella rete del gas naturale), stoccaggio e utilizzo dell'idrogeno tramite decreti dei Ministri dell'Interno e Transizione ecologica; ii) semplificazione amministrativa per la realizzazione di piccoli impianti di produzione di idrogeno verde, tramite costituzione di uno sportello unico per la concessione di autorizzazione a costruire e gestire impianti di produzione di idrogeno su piccola scala da RES; iii) regolamentazione della partecipazione degli impianti di produzione di idrogeno ai servizi di rete, emanato dal Regolatore dell'Energia (ARERA); iv) sistema di garanzie di origine per l'idrogeno rinnovabile al fine di dare segnali di prezzo ai consumatori, emesso dal Regolatore dell'Energia (ARERA) e dal Gestore Servizi Energetici – GSE; v) misure per consentire la realizzazione di stazioni di rifornimento di idrogeno presso aree di servizio autostradali, magazzini logistici, porti, ecc. tramite Accordo tra il Ministero della Transizione Ecologica e il Ministero delle Infrastrutture e della Mobilità Sostenibile per definire le aree di rifornimento selezionate lungo il locale della stazione di rifornimento per la realizzazione di corridoi H2, partendo dalle regioni del Nord Italia fino alla Pianura Padana e agli </w:t>
      </w:r>
      <w:proofErr w:type="spellStart"/>
      <w:r w:rsidRPr="0043089C">
        <w:rPr>
          <w:rFonts w:ascii="Times New Roman" w:hAnsi="Times New Roman" w:cs="Times New Roman"/>
          <w:sz w:val="24"/>
          <w:szCs w:val="24"/>
        </w:rPr>
        <w:t>hub</w:t>
      </w:r>
      <w:proofErr w:type="spellEnd"/>
      <w:r w:rsidRPr="0043089C">
        <w:rPr>
          <w:rFonts w:ascii="Times New Roman" w:hAnsi="Times New Roman" w:cs="Times New Roman"/>
          <w:sz w:val="24"/>
          <w:szCs w:val="24"/>
        </w:rPr>
        <w:t xml:space="preserve"> logistici.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Riforma 3.2: Misure volte a promuovere la competitività dell'idrogeno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In aggiunta alla precedente riforma definite sopra, la componente include altre misure di stimolo alla produzione e al consumo dell’idrogeno, che dovranno facilitarne l’integrazione del sistema energetico. In particolare, la riforma prevede l’istituzione di: i) incentivi fiscali per sostenere la produzione di idrogeno verde in considerazione del suo impatto ambientale neutro (tasse verdi), incluso in progetto più ampio di revisione generale della tassazione dei prodotti energetici e delle sovvenzioni inefficienti ai combustibili fossili; ii) misure per la diffusione del consumo di idrogeno verde nel settore dei trasporti attraverso il recepimento della Direttiva Europea RED II.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M2C2.4 SVILUPPARE UN TRASPORTO LOCALE PIÙ SOSTENIBILE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4.1: Rafforzamento mobilità ciclistica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Il numero di ciclisti è in costante crescita dal 2013 (con crescita di oltre il 40 per cento nel 2018) e, oltre alla diffusione di un mezzo di trasporto non inquinante rappresenta una fonte di indotto economico dal valore di 7,6 €</w:t>
      </w:r>
      <w:proofErr w:type="spellStart"/>
      <w:r w:rsidRPr="0043089C">
        <w:rPr>
          <w:rFonts w:ascii="Times New Roman" w:hAnsi="Times New Roman" w:cs="Times New Roman"/>
          <w:sz w:val="24"/>
          <w:szCs w:val="24"/>
        </w:rPr>
        <w:t>Mld</w:t>
      </w:r>
      <w:proofErr w:type="spellEnd"/>
      <w:r w:rsidRPr="0043089C">
        <w:rPr>
          <w:rFonts w:ascii="Times New Roman" w:hAnsi="Times New Roman" w:cs="Times New Roman"/>
          <w:sz w:val="24"/>
          <w:szCs w:val="24"/>
        </w:rPr>
        <w:t xml:space="preserve"> ogni anno. A causa dell’emergenza Covid-19, si prevede una crescita ancora più pronunciata del settore, con numero di ciclisti nel 2020 aumentato del 20 per cento rispetto al 2019.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L’intervento si pone l’obiettivo di facilitare e promuovere ulteriormente la crescita del settore tramite realizzazione e manutenzione di reti ciclabili in ambito urbano, metropolitano, regionale e nazionale, sia con scopi turistici o ricreativi, sia per favorire </w:t>
      </w:r>
      <w:r w:rsidRPr="0043089C">
        <w:rPr>
          <w:rFonts w:ascii="Times New Roman" w:hAnsi="Times New Roman" w:cs="Times New Roman"/>
          <w:sz w:val="24"/>
          <w:szCs w:val="24"/>
        </w:rPr>
        <w:lastRenderedPageBreak/>
        <w:t>gli spostamenti quotidiani e l’</w:t>
      </w:r>
      <w:proofErr w:type="spellStart"/>
      <w:r w:rsidRPr="0043089C">
        <w:rPr>
          <w:rFonts w:ascii="Times New Roman" w:hAnsi="Times New Roman" w:cs="Times New Roman"/>
          <w:sz w:val="24"/>
          <w:szCs w:val="24"/>
        </w:rPr>
        <w:t>intermodalità</w:t>
      </w:r>
      <w:proofErr w:type="spellEnd"/>
      <w:r w:rsidRPr="0043089C">
        <w:rPr>
          <w:rFonts w:ascii="Times New Roman" w:hAnsi="Times New Roman" w:cs="Times New Roman"/>
          <w:sz w:val="24"/>
          <w:szCs w:val="24"/>
        </w:rPr>
        <w:t xml:space="preserve">, garantendo la sicurezza. La misura ha anche l’obiettivo di migliorare la coesione sociale a livello nazionale, con il 50 per cento delle risorse destinate alla Regioni del Sud.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Nello specifico, la misura prevede la realizzazione di circa 570 km di piste ciclabili urbane e metropolitane e di circa 1.250 km di piste ciclabili turistiche.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4.2: Sviluppo trasporto rapido di massa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Le auto private sono il mezzo di trasporto più utilizzato in Italia: nel 2019, su 36 milioni di persone over-18, almeno 2 persone su 3 hanno usato ogni giorno l’auto. L’utilizzo delle auto private sul totale dei viaggi è di oltre il 60 per cento, mentre l’utilizzo di sistemi pubblici di trasporto è solo del 10 per cento circa, con conseguente congestione e traffico nelle aree urbane oltre a maggiori problemi legati a inquinamento.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misura si pone il problema di ridurre le problematiche legate al trasporto su auto tramite sviluppo di sistemi di trasporto rapido di massa che spostino la domanda di mobilità dalle auto private.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misura prevede la realizzazione di 240 km di rete attrezzata per le infrastrutture del trasporto rapido di massa suddivise in metro (11 km), tram (85 km), filovie (120 km), funivie (15 km). Il focus dell’intervento sarà principalmente sulle aree metropolitane delle maggiori città italiane.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L’obiettivo è ottenere uno spostamento di almeno il 10 per cento del traffico su auto private verso il sistema di trasporto pubblico.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4.3: Sviluppo infrastrutture di ricarica elettrica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Lo sviluppo di mobilità basata su veicoli elettrici rappresenta una rilevante opportunità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del settore, ma ad oggi è estremamente limitata ed incide per lo 0,1 per cento sul totale dei veicoli.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raggiungere gli obiettivi europei in materia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è previsto un parco circolante di circa 6 milioni di veicoli elettrici al 2030 per i quali si stima siano necessari 31.500 punti di ricarica rapida pubblici. La misura si pone di conseguenza l’obiettivo di costruire le infrastrutture abilitanti al fine di promuovere lo sviluppo di mobilità sostenibile e accelerare la transizione del modello tradizionale di stazioni di rifornimento basate su carburante verso punti di rifornimento per veicoli elettrici.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Al fine di permettere la realizzazione di tali obiettivi, l’intervento è finalizzato allo sviluppo di 7.500 punti di ricarica rapida in autostrada e 13.755 in centri urbani, oltre a 100 stazioni di ricarica sperimentali con tecnologie per lo stoccaggio dell’energia.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4.4: Rinnovo flotte bus, treni verdi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misura prevede tre interventi: </w:t>
      </w:r>
    </w:p>
    <w:p w:rsidR="008050A3" w:rsidRPr="0043089C" w:rsidRDefault="008050A3" w:rsidP="0043089C">
      <w:pPr>
        <w:numPr>
          <w:ilvl w:val="0"/>
          <w:numId w:val="1"/>
        </w:numPr>
        <w:jc w:val="both"/>
        <w:rPr>
          <w:rFonts w:ascii="Times New Roman" w:hAnsi="Times New Roman" w:cs="Times New Roman"/>
          <w:sz w:val="24"/>
          <w:szCs w:val="24"/>
        </w:rPr>
      </w:pPr>
      <w:r w:rsidRPr="0043089C">
        <w:rPr>
          <w:rFonts w:ascii="Times New Roman" w:hAnsi="Times New Roman" w:cs="Times New Roman"/>
          <w:sz w:val="24"/>
          <w:szCs w:val="24"/>
        </w:rPr>
        <w:t xml:space="preserve">• Rinnovo flotta autobus con mezzi a basso impatto ambientale </w:t>
      </w:r>
    </w:p>
    <w:p w:rsidR="008050A3" w:rsidRPr="0043089C" w:rsidRDefault="008050A3" w:rsidP="0043089C">
      <w:pPr>
        <w:numPr>
          <w:ilvl w:val="0"/>
          <w:numId w:val="1"/>
        </w:numPr>
        <w:jc w:val="both"/>
        <w:rPr>
          <w:rFonts w:ascii="Times New Roman" w:hAnsi="Times New Roman" w:cs="Times New Roman"/>
          <w:sz w:val="24"/>
          <w:szCs w:val="24"/>
        </w:rPr>
      </w:pPr>
      <w:r w:rsidRPr="0043089C">
        <w:rPr>
          <w:rFonts w:ascii="Times New Roman" w:hAnsi="Times New Roman" w:cs="Times New Roman"/>
          <w:sz w:val="24"/>
          <w:szCs w:val="24"/>
        </w:rPr>
        <w:lastRenderedPageBreak/>
        <w:t xml:space="preserve">• Rinnovo flotta treni per trasporto regionale e intercity con mezzi a propulsione alternativa </w:t>
      </w:r>
    </w:p>
    <w:p w:rsidR="008050A3" w:rsidRPr="0043089C" w:rsidRDefault="008050A3" w:rsidP="0043089C">
      <w:pPr>
        <w:numPr>
          <w:ilvl w:val="0"/>
          <w:numId w:val="1"/>
        </w:numPr>
        <w:jc w:val="both"/>
        <w:rPr>
          <w:rFonts w:ascii="Times New Roman" w:hAnsi="Times New Roman" w:cs="Times New Roman"/>
          <w:sz w:val="24"/>
          <w:szCs w:val="24"/>
        </w:rPr>
      </w:pPr>
      <w:r w:rsidRPr="0043089C">
        <w:rPr>
          <w:rFonts w:ascii="Times New Roman" w:hAnsi="Times New Roman" w:cs="Times New Roman"/>
          <w:sz w:val="24"/>
          <w:szCs w:val="24"/>
        </w:rPr>
        <w:t xml:space="preserve">• Rinnovo parco veicoli dei Vigili del Fuoco </w:t>
      </w:r>
    </w:p>
    <w:p w:rsidR="008050A3" w:rsidRPr="0043089C" w:rsidRDefault="008050A3" w:rsidP="0043089C">
      <w:pPr>
        <w:jc w:val="both"/>
        <w:rPr>
          <w:rFonts w:ascii="Times New Roman" w:hAnsi="Times New Roman" w:cs="Times New Roman"/>
          <w:sz w:val="24"/>
          <w:szCs w:val="24"/>
        </w:rPr>
      </w:pP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rinnovo della flotta con autobus a basso impatto ambientale avviene accelerando l’attuazione del Piano Strategico Nazionale per la Mobilità Sostenibile e prevede il progressivo rinnovo degli autobus per il trasporto pubblico locale e la realizzazione di infrastrutture di ricarica dedicate. In particolare, è previsto l’acquisto entro il 2026 di circa 3.360 bus a basse emissioni. Circa un terzo delle risorse sono destinate alle principali città italiane.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L’investimento per il rinnovo di parte della flotta di treni per trasporto regionale con mezzi a propulsione alternativa consentirà di ridurre l'età media del parco rotabile regionale tramite l'acquisto di unità a propulsione elettrica e a idrogeno. La misura prevede l’acquisto di 53 treni per sostituire un numero equivalente di vecchie unità entro il 2026. A questi vanno aggiunte 100 carrozze di nuova concezione sviluppate con materiali riciclabili e rivestite con pannelli fotovoltaici.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Infine, verrà finanziato l’ammodernamento del parco automezzi dei Vigili del Fuoco, nello specifico con l’introduzione di circa 3.600 veicoli elettrici e veicoli alimentati a gas per i servizi istituzionali e l’introduzione di 200 nuovi mezzi con alimentazione ibrida elettrico-endotermica negli aeroporti.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Riforma 4.1: Procedure più rapide per la valutazione dei progetti nel settore dei sistemi di trasporto pubblico locale con impianti fissi e nel settore del trasporto rapido di massa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La riforma si pone l’obiettivo di accelerare le tempistiche di realizzazione di interventi e di semplificare le procedure di valutazione di progetti nel trasporto pubblico locale e trasporto rapido di massa, razionalizzando le responsabilità ed eliminando le duplicazioni di competenze nell’ambito della valutazione dei progetti all'interno della stessa Amministrazione.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M2C2.5 SVILUPPARE UNA LEADERSHIP INTERNAZIONALE, INDUSTRIALE E DI RICERCA E SVILUPPO NELLE PRINCIPALI FILIERE DELLA TRANSIZIONE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5.1: Rinnovabili e batterie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sistema energetico europeo subirà una rapida trasformazione nei prossimi anni, concentrandosi sulle tecnologie di </w:t>
      </w:r>
      <w:proofErr w:type="spellStart"/>
      <w:r w:rsidRPr="0043089C">
        <w:rPr>
          <w:rFonts w:ascii="Times New Roman" w:hAnsi="Times New Roman" w:cs="Times New Roman"/>
          <w:sz w:val="24"/>
          <w:szCs w:val="24"/>
        </w:rPr>
        <w:t>decarbonizzazione</w:t>
      </w:r>
      <w:proofErr w:type="spellEnd"/>
      <w:r w:rsidRPr="0043089C">
        <w:rPr>
          <w:rFonts w:ascii="Times New Roman" w:hAnsi="Times New Roman" w:cs="Times New Roman"/>
          <w:sz w:val="24"/>
          <w:szCs w:val="24"/>
        </w:rPr>
        <w:t xml:space="preserve">. Questo determinerà una forte domanda di tecnologie, componenti e servizi innovativi, per cui non risulterà sufficiente fissare obiettivi ambientali, ma sarà necessario puntare sullo sviluppo di filiere industriali e produttive europee per sostenere la transizione.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Nello specifico, i settori in cui sono attesi i maggiori investimenti da parte sia pubblica che privata sono quelli del solare e dell’eolico </w:t>
      </w:r>
      <w:proofErr w:type="spellStart"/>
      <w:r w:rsidRPr="0043089C">
        <w:rPr>
          <w:rFonts w:ascii="Times New Roman" w:hAnsi="Times New Roman" w:cs="Times New Roman"/>
          <w:i/>
          <w:iCs/>
          <w:sz w:val="24"/>
          <w:szCs w:val="24"/>
        </w:rPr>
        <w:t>onshore</w:t>
      </w:r>
      <w:proofErr w:type="spellEnd"/>
      <w:r w:rsidRPr="0043089C">
        <w:rPr>
          <w:rFonts w:ascii="Times New Roman" w:hAnsi="Times New Roman" w:cs="Times New Roman"/>
          <w:sz w:val="24"/>
          <w:szCs w:val="24"/>
        </w:rPr>
        <w:t xml:space="preserve">, ma in rapida crescita sarà anche </w:t>
      </w:r>
      <w:r w:rsidRPr="0043089C">
        <w:rPr>
          <w:rFonts w:ascii="Times New Roman" w:hAnsi="Times New Roman" w:cs="Times New Roman"/>
          <w:sz w:val="24"/>
          <w:szCs w:val="24"/>
        </w:rPr>
        <w:lastRenderedPageBreak/>
        <w:t xml:space="preserve">il ruolo degli accumuli elettrochimici. Ad esempio, si prevede un aumento della capacità installata fotovoltaica complessiva da 152 GW a 442 GW al 2030 a livello europeo, e da 21 GW a più di 52 GW solo in Italia26, con un mercato ad oggi dominato da produttori asiatici e cinesi (70 per cento della produzione di pannelli) e sottoscala in Europa (solo 5 per cento della produzione di pannelli).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Questa crescita attesa rappresenta un’opportunità per l’Europa di sviluppare una propria industria nel settore in grado di competere a livello globale. Questo è particolarmente rilevante per l’Italia, che grazie al proprio ruolo di primo piano nel bacino Mediterraneo, in un contesto più favorevole rispetto alla media europea, può diventare il centro nevralgico di un nuovo mercato.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Analogamente i forti investimenti nel settore delle mobilità elettrica pongono il problema dello sviluppo di una filiera europea delle batterie alla quale dovrebbe partecipare anche l’Italia insieme ad altri Paesi come Francia e Germania, onde evitare una eccessiva dipendenza futura dai produttori stranieri che impatterebbe in maniera negativa sull’elettrificazione progressiva del parco circolante sia pubblico che privato.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Di conseguenza, l’intervento è finalizzato a potenziare le filiere in Italia nei settori fotovoltaico, eolico, batterie per il settore dei trasporti e per il settore elettrico con sviluppo di: i) nuovi posti di lavoro, ii) </w:t>
      </w:r>
      <w:bookmarkStart w:id="0" w:name="_GoBack"/>
      <w:bookmarkEnd w:id="0"/>
      <w:r w:rsidRPr="0043089C">
        <w:rPr>
          <w:rFonts w:ascii="Times New Roman" w:hAnsi="Times New Roman" w:cs="Times New Roman"/>
          <w:sz w:val="24"/>
          <w:szCs w:val="24"/>
        </w:rPr>
        <w:t xml:space="preserve">investimenti in infrastrutture industriali high-tech e automazione, R&amp;D, brevetti e innovazione; iii) capitale umano, con nuove capacità e competenze.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5.2: 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Per sviluppare il mercato dell'idrogeno si prevede l'installazione in Italia di circa 5 GW di capacità di elettrolisi entro il 2030. Inoltre, si prevede lo sviluppo di ulteriori tecnologie necessarie per sostenere l’utilizzo finale dell'idrogeno (es. celle a combustibile per autocarri).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Obiettivi dell’intervento includono: i) consolidare e creare competenze proprietarie, attraverso R&amp;S in forte sinergia con Fornitori esterni; ii) creare una catena europea nella produzione e utilizzo di idrogeno.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t xml:space="preserve">Investimento 5.3: Bus elettrici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piano strategico nazionale per la mobilità sostenibile prevede il graduale rimpiazzo di autobus e mezzi di trasporto pubblici con nuovi veicoli meno inquinanti, in particolare veicoli elettrici.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Il rinnovo del parco autobus italiano e il miglioramento del livello di servizio implicano la creazione di sufficiente capacità produttiva e un profondo rinnovo del settore, sia in termini di riconfigurazione delle industrie attuali verso nuove tecnologie sia in termini di maggiore efficienza energetica e minore impatto ambientale.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L’intervento è di conseguenza finalizzato alla diffusione e promozione di trasformazione tecnologica della filiera legata alla produzione autobus in Italia, con principali obiettivi l’espansione della capacità produttiva ed il miglioramento dell’impatto ambientale.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b/>
          <w:bCs/>
          <w:sz w:val="24"/>
          <w:szCs w:val="24"/>
        </w:rPr>
        <w:lastRenderedPageBreak/>
        <w:t xml:space="preserve">Investimento 5.4: Supporto a start-up e venture capital attivi nella transizione ecologica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 xml:space="preserve">L’innovazione - con origine in laboratori di ricerca, start up o </w:t>
      </w:r>
      <w:proofErr w:type="spellStart"/>
      <w:r w:rsidRPr="0043089C">
        <w:rPr>
          <w:rFonts w:ascii="Times New Roman" w:hAnsi="Times New Roman" w:cs="Times New Roman"/>
          <w:sz w:val="24"/>
          <w:szCs w:val="24"/>
        </w:rPr>
        <w:t>SMEs</w:t>
      </w:r>
      <w:proofErr w:type="spellEnd"/>
      <w:r w:rsidRPr="0043089C">
        <w:rPr>
          <w:rFonts w:ascii="Times New Roman" w:hAnsi="Times New Roman" w:cs="Times New Roman"/>
          <w:sz w:val="24"/>
          <w:szCs w:val="24"/>
        </w:rPr>
        <w:t xml:space="preserve"> - è un elemento indispensabile per abilitare e accelerare la transizione ecologica. L’Italia offre un terreno particolarmente fertile per lo sviluppo di start-up green (nono paese al mondo per qualità della ricerca su scienze ambientali e tra i paesi a livello mondiale con il maggior bacino di talenti e con le migliori università in materie STEM) ma sconta, al contempo, un evidente fallimento di mercato in termini di trasferimento della ricerca scientifica in brevetti e business innovativi, cosa che pone limiti importanti alla capacità del Paese di sviluppare a scala soluzioni innovative per la transizione ecologica. </w:t>
      </w:r>
    </w:p>
    <w:p w:rsidR="008050A3" w:rsidRPr="0043089C" w:rsidRDefault="008050A3" w:rsidP="0043089C">
      <w:pPr>
        <w:jc w:val="both"/>
        <w:rPr>
          <w:rFonts w:ascii="Times New Roman" w:hAnsi="Times New Roman" w:cs="Times New Roman"/>
          <w:sz w:val="24"/>
          <w:szCs w:val="24"/>
        </w:rPr>
      </w:pPr>
      <w:r w:rsidRPr="0043089C">
        <w:rPr>
          <w:rFonts w:ascii="Times New Roman" w:hAnsi="Times New Roman" w:cs="Times New Roman"/>
          <w:sz w:val="24"/>
          <w:szCs w:val="24"/>
        </w:rPr>
        <w:t>L’obiettivo dell’intervento è quindi di incoraggiare e stimolare la crescita di un ecosistema di innovazione, con focus particolare sui settori della transizione verde (es. rinnovabili, mobilità sostenibile, efficienza energetica, economia circolare, trattamento rifiuti, batterie, etc.), tramite investimenti di venture capital diretti e indiretti. A tal fine, l’intervento prevede l’introduzione di un fondo dedicato (“</w:t>
      </w:r>
      <w:r w:rsidRPr="0043089C">
        <w:rPr>
          <w:rFonts w:ascii="Times New Roman" w:hAnsi="Times New Roman" w:cs="Times New Roman"/>
          <w:i/>
          <w:iCs/>
          <w:sz w:val="24"/>
          <w:szCs w:val="24"/>
        </w:rPr>
        <w:t xml:space="preserve">Green </w:t>
      </w:r>
      <w:proofErr w:type="spellStart"/>
      <w:r w:rsidRPr="0043089C">
        <w:rPr>
          <w:rFonts w:ascii="Times New Roman" w:hAnsi="Times New Roman" w:cs="Times New Roman"/>
          <w:i/>
          <w:iCs/>
          <w:sz w:val="24"/>
          <w:szCs w:val="24"/>
        </w:rPr>
        <w:t>Transition</w:t>
      </w:r>
      <w:proofErr w:type="spellEnd"/>
      <w:r w:rsidRPr="0043089C">
        <w:rPr>
          <w:rFonts w:ascii="Times New Roman" w:hAnsi="Times New Roman" w:cs="Times New Roman"/>
          <w:i/>
          <w:iCs/>
          <w:sz w:val="24"/>
          <w:szCs w:val="24"/>
        </w:rPr>
        <w:t xml:space="preserve"> Fund</w:t>
      </w:r>
      <w:r w:rsidRPr="0043089C">
        <w:rPr>
          <w:rFonts w:ascii="Times New Roman" w:hAnsi="Times New Roman" w:cs="Times New Roman"/>
          <w:sz w:val="24"/>
          <w:szCs w:val="24"/>
        </w:rPr>
        <w:t xml:space="preserve">”, GTF) con strategia di investimento focalizzata sui settori specifici e a copertura delle diverse fasi di sviluppo, con investimenti nei fondi più rilevanti di Venture Capital con focus green, in </w:t>
      </w:r>
      <w:proofErr w:type="spellStart"/>
      <w:r w:rsidRPr="0043089C">
        <w:rPr>
          <w:rFonts w:ascii="Times New Roman" w:hAnsi="Times New Roman" w:cs="Times New Roman"/>
          <w:sz w:val="24"/>
          <w:szCs w:val="24"/>
        </w:rPr>
        <w:t>startups</w:t>
      </w:r>
      <w:proofErr w:type="spellEnd"/>
      <w:r w:rsidRPr="0043089C">
        <w:rPr>
          <w:rFonts w:ascii="Times New Roman" w:hAnsi="Times New Roman" w:cs="Times New Roman"/>
          <w:sz w:val="24"/>
          <w:szCs w:val="24"/>
        </w:rPr>
        <w:t xml:space="preserve"> e incubatori/programmi di accelerazione, affiancando i più rilevanti VC </w:t>
      </w:r>
      <w:proofErr w:type="spellStart"/>
      <w:r w:rsidRPr="0043089C">
        <w:rPr>
          <w:rFonts w:ascii="Times New Roman" w:hAnsi="Times New Roman" w:cs="Times New Roman"/>
          <w:sz w:val="24"/>
          <w:szCs w:val="24"/>
        </w:rPr>
        <w:t>managers</w:t>
      </w:r>
      <w:proofErr w:type="spellEnd"/>
      <w:r w:rsidRPr="0043089C">
        <w:rPr>
          <w:rFonts w:ascii="Times New Roman" w:hAnsi="Times New Roman" w:cs="Times New Roman"/>
          <w:sz w:val="24"/>
          <w:szCs w:val="24"/>
        </w:rPr>
        <w:t xml:space="preserve"> e operatori del sistema.</w:t>
      </w:r>
    </w:p>
    <w:p w:rsidR="008050A3" w:rsidRPr="0043089C" w:rsidRDefault="008050A3" w:rsidP="0043089C">
      <w:pPr>
        <w:jc w:val="both"/>
        <w:rPr>
          <w:rFonts w:ascii="Times New Roman" w:hAnsi="Times New Roman" w:cs="Times New Roman"/>
          <w:sz w:val="24"/>
          <w:szCs w:val="24"/>
        </w:rPr>
      </w:pPr>
    </w:p>
    <w:p w:rsidR="008050A3" w:rsidRPr="008050A3" w:rsidRDefault="008050A3" w:rsidP="008050A3"/>
    <w:sectPr w:rsidR="008050A3" w:rsidRPr="008050A3" w:rsidSect="003F167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BBE3EA"/>
    <w:multiLevelType w:val="hybridMultilevel"/>
    <w:tmpl w:val="59C53D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24"/>
    <w:rsid w:val="003F1675"/>
    <w:rsid w:val="0043089C"/>
    <w:rsid w:val="008050A3"/>
    <w:rsid w:val="00A63924"/>
    <w:rsid w:val="00C87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BE2B"/>
  <w15:chartTrackingRefBased/>
  <w15:docId w15:val="{A569C39C-D6AC-49FF-96D5-FDB5D09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6800</Words>
  <Characters>38764</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QUADRI</dc:creator>
  <cp:keywords/>
  <dc:description/>
  <cp:lastModifiedBy>SUSANNA QUADRI</cp:lastModifiedBy>
  <cp:revision>2</cp:revision>
  <dcterms:created xsi:type="dcterms:W3CDTF">2021-09-04T15:54:00Z</dcterms:created>
  <dcterms:modified xsi:type="dcterms:W3CDTF">2021-09-04T15:54:00Z</dcterms:modified>
</cp:coreProperties>
</file>